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BE474B" w14:textId="77777777" w:rsidR="006B6E62" w:rsidRDefault="006B6E62" w:rsidP="006B6E62">
      <w:pPr>
        <w:pStyle w:val="NoSpacing"/>
        <w:jc w:val="center"/>
        <w:rPr>
          <w:rFonts w:ascii="Times New Roman" w:hAnsi="Times New Roman"/>
          <w:b/>
          <w:sz w:val="24"/>
          <w:szCs w:val="24"/>
        </w:rPr>
      </w:pPr>
      <w:r>
        <w:rPr>
          <w:rFonts w:ascii="Times New Roman" w:hAnsi="Times New Roman"/>
          <w:b/>
          <w:sz w:val="24"/>
          <w:szCs w:val="24"/>
        </w:rPr>
        <w:t>UNITED STATES DISTRICT COURT</w:t>
      </w:r>
    </w:p>
    <w:p w14:paraId="4CC1B74D" w14:textId="77777777" w:rsidR="006B6E62" w:rsidRDefault="006B6E62" w:rsidP="006B6E62">
      <w:pPr>
        <w:pStyle w:val="NoSpacing"/>
        <w:jc w:val="center"/>
        <w:rPr>
          <w:rFonts w:ascii="Times New Roman" w:hAnsi="Times New Roman"/>
          <w:b/>
          <w:sz w:val="24"/>
          <w:szCs w:val="24"/>
        </w:rPr>
      </w:pPr>
      <w:r>
        <w:rPr>
          <w:rFonts w:ascii="Times New Roman" w:hAnsi="Times New Roman"/>
          <w:b/>
          <w:sz w:val="24"/>
          <w:szCs w:val="24"/>
        </w:rPr>
        <w:t>DISTRICT OF MOOT</w:t>
      </w:r>
    </w:p>
    <w:p w14:paraId="3EA1E182" w14:textId="77777777" w:rsidR="006B6E62" w:rsidRPr="00CE14D1" w:rsidRDefault="00025E88" w:rsidP="006B6E62">
      <w:pPr>
        <w:pStyle w:val="NoSpacing"/>
        <w:rPr>
          <w:rFonts w:ascii="Times New Roman" w:hAnsi="Times New Roman"/>
          <w:b/>
          <w:sz w:val="24"/>
          <w:szCs w:val="24"/>
        </w:rPr>
      </w:pPr>
      <w:r>
        <w:rPr>
          <w:noProof/>
        </w:rPr>
        <mc:AlternateContent>
          <mc:Choice Requires="wps">
            <w:drawing>
              <wp:anchor distT="4294967295" distB="4294967295" distL="114300" distR="114300" simplePos="0" relativeHeight="251657216" behindDoc="0" locked="0" layoutInCell="1" allowOverlap="1" wp14:anchorId="4D4795E5" wp14:editId="4E4E53AC">
                <wp:simplePos x="0" y="0"/>
                <wp:positionH relativeFrom="column">
                  <wp:posOffset>9525</wp:posOffset>
                </wp:positionH>
                <wp:positionV relativeFrom="paragraph">
                  <wp:posOffset>106679</wp:posOffset>
                </wp:positionV>
                <wp:extent cx="5857875" cy="0"/>
                <wp:effectExtent l="0" t="0" r="34925" b="254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Straight Arrow Connector 2" o:spid="_x0000_s1026" type="#_x0000_t32" style="position:absolute;margin-left:.75pt;margin-top:8.4pt;width:461.25pt;height:0;z-index:25165721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" strokeweight="1.5pt"/>
            </w:pict>
          </mc:Fallback>
        </mc:AlternateContent>
      </w:r>
      <w:r w:rsidR="006B6E62">
        <w:rPr>
          <w:rFonts w:ascii="Times New Roman" w:hAnsi="Times New Roman"/>
          <w:sz w:val="24"/>
          <w:szCs w:val="24"/>
        </w:rPr>
        <w:tab/>
      </w:r>
      <w:r w:rsidR="006B6E62">
        <w:rPr>
          <w:rFonts w:ascii="Times New Roman" w:hAnsi="Times New Roman"/>
          <w:sz w:val="24"/>
          <w:szCs w:val="24"/>
        </w:rPr>
        <w:tab/>
      </w:r>
    </w:p>
    <w:p w14:paraId="63551E94" w14:textId="77777777" w:rsidR="006B6E62" w:rsidRDefault="006B6E62" w:rsidP="006B6E62">
      <w:pPr>
        <w:pStyle w:val="NoSpacing"/>
        <w:tabs>
          <w:tab w:val="left" w:pos="1440"/>
          <w:tab w:val="left" w:pos="4680"/>
          <w:tab w:val="left" w:pos="6120"/>
        </w:tabs>
        <w:rPr>
          <w:rFonts w:ascii="Times New Roman" w:hAnsi="Times New Roman"/>
          <w:sz w:val="24"/>
          <w:szCs w:val="24"/>
        </w:rPr>
      </w:pPr>
      <w:r>
        <w:rPr>
          <w:rFonts w:ascii="Times New Roman" w:hAnsi="Times New Roman"/>
          <w:sz w:val="24"/>
          <w:szCs w:val="24"/>
        </w:rPr>
        <w:t xml:space="preserve">OGS TV, INC. </w:t>
      </w:r>
      <w:r>
        <w:rPr>
          <w:rFonts w:ascii="Times New Roman" w:hAnsi="Times New Roman"/>
          <w:sz w:val="24"/>
          <w:szCs w:val="24"/>
        </w:rPr>
        <w:tab/>
        <w:t>)</w:t>
      </w:r>
      <w:r>
        <w:rPr>
          <w:rFonts w:ascii="Times New Roman" w:hAnsi="Times New Roman"/>
          <w:sz w:val="24"/>
          <w:szCs w:val="24"/>
        </w:rPr>
        <w:tab/>
      </w:r>
    </w:p>
    <w:p w14:paraId="5382F240" w14:textId="77777777" w:rsidR="006B6E62" w:rsidRDefault="006B6E62" w:rsidP="006B6E62">
      <w:pPr>
        <w:pStyle w:val="NoSpacing"/>
        <w:tabs>
          <w:tab w:val="left" w:pos="1440"/>
          <w:tab w:val="left" w:pos="4680"/>
          <w:tab w:val="left" w:pos="6120"/>
        </w:tabs>
        <w:rPr>
          <w:rFonts w:ascii="Times New Roman" w:hAnsi="Times New Roman"/>
          <w:sz w:val="24"/>
          <w:szCs w:val="24"/>
        </w:rPr>
      </w:pPr>
      <w:r>
        <w:rPr>
          <w:rFonts w:ascii="Times New Roman" w:hAnsi="Times New Roman"/>
          <w:sz w:val="24"/>
          <w:szCs w:val="24"/>
        </w:rPr>
        <w:tab/>
        <w:t>Plaintiff,</w:t>
      </w:r>
      <w:r>
        <w:rPr>
          <w:rFonts w:ascii="Times New Roman" w:hAnsi="Times New Roman"/>
          <w:sz w:val="24"/>
          <w:szCs w:val="24"/>
        </w:rPr>
        <w:tab/>
        <w:t>)</w:t>
      </w:r>
      <w:r>
        <w:rPr>
          <w:rFonts w:ascii="Times New Roman" w:hAnsi="Times New Roman"/>
          <w:sz w:val="24"/>
          <w:szCs w:val="24"/>
        </w:rPr>
        <w:tab/>
        <w:t>Case No. 27-CV-12-1234</w:t>
      </w:r>
      <w:r>
        <w:rPr>
          <w:rFonts w:ascii="Times New Roman" w:hAnsi="Times New Roman"/>
          <w:sz w:val="24"/>
          <w:szCs w:val="24"/>
        </w:rPr>
        <w:tab/>
      </w:r>
      <w:r>
        <w:rPr>
          <w:rFonts w:ascii="Times New Roman" w:hAnsi="Times New Roman"/>
          <w:sz w:val="24"/>
          <w:szCs w:val="24"/>
        </w:rPr>
        <w:tab/>
      </w:r>
    </w:p>
    <w:p w14:paraId="61945CF6" w14:textId="77777777" w:rsidR="006B6E62" w:rsidRPr="00EB788B" w:rsidRDefault="006B6E62" w:rsidP="006B6E62">
      <w:pPr>
        <w:pStyle w:val="NoSpacing"/>
        <w:tabs>
          <w:tab w:val="left" w:pos="1440"/>
          <w:tab w:val="left" w:pos="4680"/>
          <w:tab w:val="left" w:pos="6120"/>
        </w:tabs>
        <w:rPr>
          <w:rFonts w:ascii="Times New Roman" w:hAnsi="Times New Roman"/>
          <w:b/>
          <w:sz w:val="24"/>
          <w:szCs w:val="24"/>
        </w:rPr>
      </w:pPr>
      <w:r>
        <w:rPr>
          <w:rFonts w:ascii="Times New Roman" w:hAnsi="Times New Roman"/>
          <w:sz w:val="24"/>
          <w:szCs w:val="24"/>
        </w:rPr>
        <w:t xml:space="preserve"> v.</w:t>
      </w:r>
      <w:r>
        <w:rPr>
          <w:rFonts w:ascii="Times New Roman" w:hAnsi="Times New Roman"/>
          <w:sz w:val="24"/>
          <w:szCs w:val="24"/>
        </w:rPr>
        <w:tab/>
      </w:r>
      <w:r>
        <w:rPr>
          <w:rFonts w:ascii="Times New Roman" w:hAnsi="Times New Roman"/>
          <w:sz w:val="24"/>
          <w:szCs w:val="24"/>
        </w:rPr>
        <w:tab/>
        <w:t>)</w:t>
      </w:r>
    </w:p>
    <w:p w14:paraId="13BF2FCC" w14:textId="77777777" w:rsidR="006B6E62" w:rsidRDefault="006B6E62" w:rsidP="006B6E62">
      <w:pPr>
        <w:pStyle w:val="NoSpacing"/>
        <w:tabs>
          <w:tab w:val="left" w:pos="1440"/>
          <w:tab w:val="left" w:pos="4680"/>
          <w:tab w:val="left" w:pos="6120"/>
        </w:tabs>
        <w:ind w:left="5760" w:hanging="5760"/>
        <w:rPr>
          <w:rFonts w:ascii="Times New Roman" w:hAnsi="Times New Roman"/>
          <w:sz w:val="24"/>
          <w:szCs w:val="24"/>
        </w:rPr>
      </w:pPr>
      <w:r>
        <w:rPr>
          <w:rFonts w:ascii="Times New Roman" w:hAnsi="Times New Roman"/>
          <w:sz w:val="24"/>
          <w:szCs w:val="24"/>
        </w:rPr>
        <w:t xml:space="preserve">Elizabeth Lime &amp; </w:t>
      </w:r>
      <w:r>
        <w:rPr>
          <w:rFonts w:ascii="Times New Roman" w:hAnsi="Times New Roman"/>
          <w:sz w:val="24"/>
          <w:szCs w:val="24"/>
        </w:rPr>
        <w:tab/>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A2DE4">
        <w:rPr>
          <w:rFonts w:ascii="Times New Roman" w:hAnsi="Times New Roman"/>
          <w:b/>
          <w:sz w:val="24"/>
          <w:szCs w:val="24"/>
        </w:rPr>
        <w:t>DEFENDANT</w:t>
      </w:r>
      <w:r>
        <w:rPr>
          <w:rFonts w:ascii="Times New Roman" w:hAnsi="Times New Roman"/>
          <w:b/>
          <w:sz w:val="24"/>
          <w:szCs w:val="24"/>
        </w:rPr>
        <w:t>S</w:t>
      </w:r>
      <w:r w:rsidR="008A2DE4">
        <w:rPr>
          <w:rFonts w:ascii="Times New Roman" w:hAnsi="Times New Roman"/>
          <w:b/>
          <w:sz w:val="24"/>
          <w:szCs w:val="24"/>
        </w:rPr>
        <w:t>’</w:t>
      </w:r>
    </w:p>
    <w:p w14:paraId="28996433" w14:textId="77777777" w:rsidR="006B6E62" w:rsidRPr="00FD06D2" w:rsidRDefault="006B6E62" w:rsidP="006B6E62">
      <w:pPr>
        <w:pStyle w:val="NoSpacing"/>
        <w:tabs>
          <w:tab w:val="left" w:pos="1440"/>
          <w:tab w:val="left" w:pos="4680"/>
          <w:tab w:val="left" w:pos="6120"/>
        </w:tabs>
        <w:ind w:left="5760" w:hanging="5760"/>
        <w:rPr>
          <w:rFonts w:ascii="Times New Roman" w:hAnsi="Times New Roman"/>
          <w:b/>
          <w:sz w:val="24"/>
          <w:szCs w:val="24"/>
        </w:rPr>
      </w:pPr>
      <w:r>
        <w:rPr>
          <w:rFonts w:ascii="Times New Roman" w:hAnsi="Times New Roman"/>
          <w:sz w:val="24"/>
          <w:szCs w:val="24"/>
        </w:rPr>
        <w:t>TinyTV, Inc.</w:t>
      </w:r>
      <w:r>
        <w:rPr>
          <w:rFonts w:ascii="Times New Roman" w:hAnsi="Times New Roman"/>
          <w:sz w:val="24"/>
          <w:szCs w:val="24"/>
        </w:rPr>
        <w:tab/>
      </w:r>
      <w:r>
        <w:rPr>
          <w:rFonts w:ascii="Times New Roman" w:hAnsi="Times New Roman"/>
          <w:sz w:val="24"/>
          <w:szCs w:val="24"/>
        </w:rPr>
        <w:tab/>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MEMORANDUM</w:t>
      </w:r>
    </w:p>
    <w:p w14:paraId="1FA5D01F" w14:textId="77777777" w:rsidR="006B6E62" w:rsidRPr="00FD06D2" w:rsidRDefault="006B6E62" w:rsidP="006B6E62">
      <w:pPr>
        <w:pStyle w:val="NoSpacing"/>
        <w:tabs>
          <w:tab w:val="left" w:pos="1440"/>
          <w:tab w:val="left" w:pos="4680"/>
          <w:tab w:val="left" w:pos="6120"/>
        </w:tabs>
        <w:ind w:left="5760" w:hanging="5760"/>
        <w:rPr>
          <w:rFonts w:ascii="Times New Roman" w:hAnsi="Times New Roman"/>
          <w:b/>
          <w:sz w:val="24"/>
          <w:szCs w:val="24"/>
        </w:rPr>
      </w:pPr>
      <w:r>
        <w:rPr>
          <w:rFonts w:ascii="Times New Roman" w:hAnsi="Times New Roman"/>
          <w:sz w:val="24"/>
          <w:szCs w:val="24"/>
        </w:rPr>
        <w:tab/>
        <w:t>Defendants</w:t>
      </w:r>
      <w:r>
        <w:rPr>
          <w:rFonts w:ascii="Times New Roman" w:hAnsi="Times New Roman"/>
          <w:sz w:val="24"/>
          <w:szCs w:val="24"/>
        </w:rPr>
        <w:tab/>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1144A">
        <w:rPr>
          <w:rFonts w:ascii="Times New Roman" w:hAnsi="Times New Roman"/>
          <w:b/>
          <w:sz w:val="24"/>
          <w:szCs w:val="24"/>
        </w:rPr>
        <w:t>IN SUPPORT OF</w:t>
      </w:r>
    </w:p>
    <w:p w14:paraId="372DF5B3" w14:textId="77777777" w:rsidR="006B6E62" w:rsidRPr="00E17274" w:rsidRDefault="006B6E62" w:rsidP="006B6E62">
      <w:pPr>
        <w:pStyle w:val="NoSpacing"/>
        <w:tabs>
          <w:tab w:val="left" w:pos="1440"/>
          <w:tab w:val="left" w:pos="4680"/>
          <w:tab w:val="left" w:pos="6120"/>
        </w:tabs>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t>)</w:t>
      </w:r>
      <w:r>
        <w:rPr>
          <w:rFonts w:ascii="Times New Roman" w:hAnsi="Times New Roman"/>
          <w:sz w:val="24"/>
          <w:szCs w:val="24"/>
        </w:rPr>
        <w:tab/>
      </w:r>
      <w:r>
        <w:rPr>
          <w:rFonts w:ascii="Times New Roman" w:hAnsi="Times New Roman"/>
          <w:sz w:val="24"/>
          <w:szCs w:val="24"/>
        </w:rPr>
        <w:tab/>
      </w:r>
      <w:r w:rsidRPr="00244C98">
        <w:rPr>
          <w:rFonts w:ascii="Times New Roman" w:hAnsi="Times New Roman"/>
          <w:b/>
          <w:sz w:val="24"/>
          <w:szCs w:val="24"/>
        </w:rPr>
        <w:t>CONSOLIDATED</w:t>
      </w:r>
    </w:p>
    <w:p w14:paraId="7937B5F5" w14:textId="77777777" w:rsidR="006B6E62" w:rsidRPr="00E17274" w:rsidRDefault="006B6E62" w:rsidP="006B6E62">
      <w:pPr>
        <w:pStyle w:val="NoSpacing"/>
        <w:tabs>
          <w:tab w:val="left" w:pos="1440"/>
          <w:tab w:val="left" w:pos="4680"/>
          <w:tab w:val="left" w:pos="6120"/>
        </w:tabs>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t>)</w:t>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MOTION TO</w:t>
      </w:r>
    </w:p>
    <w:p w14:paraId="694C615A" w14:textId="77777777" w:rsidR="006B6E62" w:rsidRDefault="006B6E62" w:rsidP="006B6E62">
      <w:pPr>
        <w:pStyle w:val="NoSpacing"/>
        <w:tabs>
          <w:tab w:val="left" w:pos="1440"/>
          <w:tab w:val="left" w:pos="4680"/>
          <w:tab w:val="left" w:pos="6120"/>
        </w:tabs>
        <w:ind w:left="6120" w:hanging="4680"/>
        <w:rPr>
          <w:rFonts w:ascii="Times New Roman" w:hAnsi="Times New Roman"/>
          <w:sz w:val="24"/>
          <w:szCs w:val="24"/>
        </w:rPr>
      </w:pPr>
      <w:r>
        <w:rPr>
          <w:rFonts w:ascii="Times New Roman" w:hAnsi="Times New Roman"/>
          <w:b/>
          <w:sz w:val="24"/>
          <w:szCs w:val="24"/>
        </w:rPr>
        <w:tab/>
      </w:r>
      <w:r w:rsidRPr="002D7003">
        <w:rPr>
          <w:rFonts w:ascii="Times New Roman" w:hAnsi="Times New Roman"/>
          <w:sz w:val="24"/>
          <w:szCs w:val="24"/>
        </w:rPr>
        <w:t>)</w:t>
      </w:r>
      <w:r w:rsidR="00025E88">
        <w:rPr>
          <w:noProof/>
        </w:rPr>
        <mc:AlternateContent>
          <mc:Choice Requires="wps">
            <w:drawing>
              <wp:anchor distT="4294967295" distB="4294967295" distL="114300" distR="114300" simplePos="0" relativeHeight="251658240" behindDoc="0" locked="0" layoutInCell="1" allowOverlap="1" wp14:anchorId="2DECD363" wp14:editId="71765800">
                <wp:simplePos x="0" y="0"/>
                <wp:positionH relativeFrom="column">
                  <wp:posOffset>9525</wp:posOffset>
                </wp:positionH>
                <wp:positionV relativeFrom="paragraph">
                  <wp:posOffset>156209</wp:posOffset>
                </wp:positionV>
                <wp:extent cx="5857875" cy="0"/>
                <wp:effectExtent l="0" t="0" r="34925" b="254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75pt;margin-top:12.3pt;width:461.25pt;height:0;z-index:25165824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" strokeweight="1.5pt"/>
            </w:pict>
          </mc:Fallback>
        </mc:AlternateContent>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DISMISS</w:t>
      </w:r>
    </w:p>
    <w:p w14:paraId="323FA285" w14:textId="77777777" w:rsidR="006B6E62" w:rsidRPr="006B6508" w:rsidRDefault="006B6E62" w:rsidP="006B6E62">
      <w:pPr>
        <w:pStyle w:val="NoSpacing"/>
        <w:tabs>
          <w:tab w:val="left" w:pos="1440"/>
          <w:tab w:val="left" w:pos="4680"/>
          <w:tab w:val="left" w:pos="6120"/>
        </w:tabs>
        <w:ind w:left="6120" w:hanging="4680"/>
        <w:rPr>
          <w:rFonts w:ascii="Times New Roman" w:hAnsi="Times New Roman"/>
          <w:sz w:val="24"/>
          <w:szCs w:val="24"/>
        </w:rPr>
      </w:pPr>
    </w:p>
    <w:p w14:paraId="4E4AA693" w14:textId="77777777" w:rsidR="006B6E62" w:rsidRDefault="006B6E62" w:rsidP="006B6E62">
      <w:pPr>
        <w:jc w:val="center"/>
        <w:rPr>
          <w:szCs w:val="24"/>
        </w:rPr>
      </w:pPr>
      <w:r>
        <w:rPr>
          <w:b/>
          <w:szCs w:val="24"/>
          <w:u w:val="single"/>
        </w:rPr>
        <w:t>INTRODUCTION</w:t>
      </w:r>
    </w:p>
    <w:p w14:paraId="20E54293" w14:textId="77777777" w:rsidR="006B6E62" w:rsidRDefault="006B6E62" w:rsidP="006B6E62">
      <w:pPr>
        <w:spacing w:line="480" w:lineRule="auto"/>
        <w:contextualSpacing/>
        <w:rPr>
          <w:rFonts w:cs="Times New Roman"/>
          <w:szCs w:val="24"/>
        </w:rPr>
      </w:pPr>
      <w:r>
        <w:rPr>
          <w:rFonts w:cs="Times New Roman"/>
          <w:szCs w:val="24"/>
        </w:rPr>
        <w:tab/>
        <w:t xml:space="preserve">Defendants Elizabeth Lime </w:t>
      </w:r>
      <w:r w:rsidR="0011144A">
        <w:rPr>
          <w:rFonts w:cs="Times New Roman"/>
          <w:szCs w:val="24"/>
        </w:rPr>
        <w:t xml:space="preserve">(Lime) </w:t>
      </w:r>
      <w:r>
        <w:rPr>
          <w:rFonts w:cs="Times New Roman"/>
          <w:szCs w:val="24"/>
        </w:rPr>
        <w:t>and TinyTV, Inc.</w:t>
      </w:r>
      <w:r w:rsidR="0011144A">
        <w:rPr>
          <w:rFonts w:cs="Times New Roman"/>
          <w:szCs w:val="24"/>
        </w:rPr>
        <w:t xml:space="preserve"> (TinyTV) submit this M</w:t>
      </w:r>
      <w:r>
        <w:rPr>
          <w:rFonts w:cs="Times New Roman"/>
          <w:szCs w:val="24"/>
        </w:rPr>
        <w:t xml:space="preserve">emorandum in </w:t>
      </w:r>
      <w:r w:rsidR="009A6C76">
        <w:rPr>
          <w:rFonts w:cs="Times New Roman"/>
          <w:szCs w:val="24"/>
        </w:rPr>
        <w:t>Support of their Consolidated Motion to Deny the Plaintiff’s R</w:t>
      </w:r>
      <w:r>
        <w:rPr>
          <w:rFonts w:cs="Times New Roman"/>
          <w:szCs w:val="24"/>
        </w:rPr>
        <w:t xml:space="preserve">equest </w:t>
      </w:r>
      <w:r w:rsidR="009A6C76">
        <w:rPr>
          <w:rFonts w:cs="Times New Roman"/>
          <w:szCs w:val="24"/>
        </w:rPr>
        <w:t>to Dismiss the Plaintiff’s Claim for D</w:t>
      </w:r>
      <w:r>
        <w:rPr>
          <w:rFonts w:cs="Times New Roman"/>
          <w:szCs w:val="24"/>
        </w:rPr>
        <w:t xml:space="preserve">amages </w:t>
      </w:r>
      <w:r w:rsidRPr="00090AF4">
        <w:rPr>
          <w:rFonts w:cs="Times New Roman"/>
          <w:szCs w:val="24"/>
        </w:rPr>
        <w:t xml:space="preserve">pursuant to </w:t>
      </w:r>
      <w:r>
        <w:rPr>
          <w:rFonts w:cs="Times New Roman"/>
          <w:szCs w:val="24"/>
        </w:rPr>
        <w:t>Fed. R. Civ. P.</w:t>
      </w:r>
      <w:r w:rsidRPr="00090AF4">
        <w:rPr>
          <w:rFonts w:cs="Times New Roman"/>
          <w:szCs w:val="24"/>
        </w:rPr>
        <w:t xml:space="preserve"> 12(b)(6</w:t>
      </w:r>
      <w:r>
        <w:rPr>
          <w:rFonts w:cs="Times New Roman"/>
          <w:szCs w:val="24"/>
        </w:rPr>
        <w:t>) for failure to assert a claim upon which relief can be granted.</w:t>
      </w:r>
    </w:p>
    <w:p w14:paraId="1637CDD5" w14:textId="77777777" w:rsidR="006B6E62" w:rsidRDefault="006B6E62" w:rsidP="006B6E62">
      <w:pPr>
        <w:spacing w:line="480" w:lineRule="auto"/>
        <w:ind w:firstLine="720"/>
        <w:contextualSpacing/>
        <w:rPr>
          <w:rFonts w:cs="Times New Roman"/>
          <w:szCs w:val="24"/>
        </w:rPr>
      </w:pPr>
      <w:r>
        <w:rPr>
          <w:rFonts w:cs="Times New Roman"/>
          <w:szCs w:val="24"/>
        </w:rPr>
        <w:t xml:space="preserve">Defendants maintain that </w:t>
      </w:r>
      <w:r w:rsidR="0011144A">
        <w:rPr>
          <w:rFonts w:cs="Times New Roman"/>
          <w:szCs w:val="24"/>
        </w:rPr>
        <w:t>Defendant</w:t>
      </w:r>
      <w:r>
        <w:rPr>
          <w:rFonts w:cs="Times New Roman"/>
          <w:szCs w:val="24"/>
        </w:rPr>
        <w:t xml:space="preserve"> Lime wrote, created, and authored the screenplays entitled “Anticipatory Repudiation” and “The Love Below.”  Defendant was not bound by an express written agreement</w:t>
      </w:r>
      <w:r w:rsidR="009A6C76">
        <w:rPr>
          <w:rFonts w:cs="Times New Roman"/>
          <w:szCs w:val="24"/>
        </w:rPr>
        <w:t xml:space="preserve"> to write “Anticipatory Repudiation”</w:t>
      </w:r>
      <w:r>
        <w:rPr>
          <w:rFonts w:cs="Times New Roman"/>
          <w:szCs w:val="24"/>
        </w:rPr>
        <w:t xml:space="preserve"> with </w:t>
      </w:r>
      <w:r w:rsidR="009A6C76">
        <w:rPr>
          <w:rFonts w:cs="Times New Roman"/>
          <w:szCs w:val="24"/>
        </w:rPr>
        <w:t xml:space="preserve">the </w:t>
      </w:r>
      <w:r>
        <w:rPr>
          <w:rFonts w:cs="Times New Roman"/>
          <w:szCs w:val="24"/>
        </w:rPr>
        <w:t xml:space="preserve">Plaintiff prior to the creation </w:t>
      </w:r>
      <w:r w:rsidR="009A6C76">
        <w:rPr>
          <w:rFonts w:cs="Times New Roman"/>
          <w:szCs w:val="24"/>
        </w:rPr>
        <w:t>there</w:t>
      </w:r>
      <w:r>
        <w:rPr>
          <w:rFonts w:cs="Times New Roman"/>
          <w:szCs w:val="24"/>
        </w:rPr>
        <w:t>of</w:t>
      </w:r>
      <w:r w:rsidR="009A6C76">
        <w:rPr>
          <w:rFonts w:cs="Times New Roman"/>
          <w:szCs w:val="24"/>
        </w:rPr>
        <w:t>.</w:t>
      </w:r>
      <w:r>
        <w:rPr>
          <w:rFonts w:cs="Times New Roman"/>
          <w:szCs w:val="24"/>
        </w:rPr>
        <w:t xml:space="preserve">  </w:t>
      </w:r>
      <w:r w:rsidR="009A6C76">
        <w:rPr>
          <w:rFonts w:cs="Times New Roman"/>
          <w:szCs w:val="24"/>
        </w:rPr>
        <w:t xml:space="preserve">Therefore, </w:t>
      </w:r>
      <w:r>
        <w:rPr>
          <w:rFonts w:cs="Times New Roman"/>
          <w:szCs w:val="24"/>
        </w:rPr>
        <w:t xml:space="preserve">“Anticipatory Repudiation” was not created as a “work for hire,” and </w:t>
      </w:r>
      <w:r w:rsidR="0011144A">
        <w:rPr>
          <w:rFonts w:cs="Times New Roman"/>
          <w:szCs w:val="24"/>
        </w:rPr>
        <w:t>Defendant</w:t>
      </w:r>
      <w:r>
        <w:rPr>
          <w:rFonts w:cs="Times New Roman"/>
          <w:szCs w:val="24"/>
        </w:rPr>
        <w:t xml:space="preserve"> Lime retains the ownership of the copyright thereto. </w:t>
      </w:r>
    </w:p>
    <w:p w14:paraId="75E02257" w14:textId="77777777" w:rsidR="006B6E62" w:rsidRDefault="006B6E62" w:rsidP="006B6E62">
      <w:pPr>
        <w:spacing w:line="480" w:lineRule="auto"/>
        <w:contextualSpacing/>
        <w:jc w:val="center"/>
        <w:rPr>
          <w:rFonts w:cs="Times New Roman"/>
          <w:b/>
          <w:szCs w:val="24"/>
          <w:u w:val="single"/>
        </w:rPr>
      </w:pPr>
      <w:r>
        <w:rPr>
          <w:rFonts w:cs="Times New Roman"/>
          <w:b/>
          <w:szCs w:val="24"/>
          <w:u w:val="single"/>
        </w:rPr>
        <w:t>FACTS</w:t>
      </w:r>
    </w:p>
    <w:p w14:paraId="32926C20" w14:textId="77777777" w:rsidR="006B6E62" w:rsidRDefault="006B6E62" w:rsidP="006B6E62">
      <w:pPr>
        <w:spacing w:line="480" w:lineRule="auto"/>
        <w:contextualSpacing/>
        <w:rPr>
          <w:rFonts w:cs="Times New Roman"/>
          <w:szCs w:val="24"/>
        </w:rPr>
      </w:pPr>
      <w:r>
        <w:rPr>
          <w:rFonts w:cs="Times New Roman"/>
          <w:szCs w:val="24"/>
        </w:rPr>
        <w:tab/>
        <w:t xml:space="preserve">Plaintiff </w:t>
      </w:r>
      <w:r w:rsidR="00687591">
        <w:rPr>
          <w:rFonts w:cs="Times New Roman"/>
          <w:szCs w:val="24"/>
        </w:rPr>
        <w:t>wa</w:t>
      </w:r>
      <w:r>
        <w:rPr>
          <w:rFonts w:cs="Times New Roman"/>
          <w:szCs w:val="24"/>
        </w:rPr>
        <w:t xml:space="preserve">s and </w:t>
      </w:r>
      <w:r w:rsidR="00687591">
        <w:rPr>
          <w:rFonts w:cs="Times New Roman"/>
          <w:szCs w:val="24"/>
        </w:rPr>
        <w:t>remains</w:t>
      </w:r>
      <w:r>
        <w:rPr>
          <w:rFonts w:cs="Times New Roman"/>
          <w:szCs w:val="24"/>
        </w:rPr>
        <w:t xml:space="preserve"> the creator, producer and broadcaster of </w:t>
      </w:r>
      <w:r>
        <w:rPr>
          <w:rFonts w:cs="Times New Roman"/>
          <w:i/>
          <w:szCs w:val="24"/>
        </w:rPr>
        <w:t>Lawless Love</w:t>
      </w:r>
      <w:r>
        <w:rPr>
          <w:rFonts w:cs="Times New Roman"/>
          <w:szCs w:val="24"/>
        </w:rPr>
        <w:t>; Plaintiff employed eight writers t</w:t>
      </w:r>
      <w:r w:rsidR="00687591">
        <w:rPr>
          <w:rFonts w:cs="Times New Roman"/>
          <w:szCs w:val="24"/>
        </w:rPr>
        <w:t>o write the originals series’ thirty-nine</w:t>
      </w:r>
      <w:r>
        <w:rPr>
          <w:rFonts w:cs="Times New Roman"/>
          <w:szCs w:val="24"/>
        </w:rPr>
        <w:t xml:space="preserve"> screenplays prepared </w:t>
      </w:r>
      <w:r w:rsidR="00687591">
        <w:rPr>
          <w:rFonts w:cs="Times New Roman"/>
          <w:szCs w:val="24"/>
        </w:rPr>
        <w:t>before April 2, 2010. (Compl.</w:t>
      </w:r>
      <w:r>
        <w:rPr>
          <w:rFonts w:cs="Times New Roman"/>
          <w:szCs w:val="24"/>
        </w:rPr>
        <w:t xml:space="preserve"> ¶ 5.) Plaintiff defined a screenplay as “</w:t>
      </w:r>
      <w:r w:rsidRPr="00780EDC">
        <w:rPr>
          <w:rFonts w:cs="Times New Roman"/>
          <w:szCs w:val="24"/>
        </w:rPr>
        <w:t>a contribution to a collective work and part of t</w:t>
      </w:r>
      <w:r>
        <w:rPr>
          <w:rFonts w:cs="Times New Roman"/>
          <w:szCs w:val="24"/>
        </w:rPr>
        <w:t xml:space="preserve">he creation of a motion picture” and asserted that the “original features” of each </w:t>
      </w:r>
      <w:r w:rsidR="00C5532E">
        <w:rPr>
          <w:rFonts w:cs="Times New Roman"/>
          <w:szCs w:val="24"/>
        </w:rPr>
        <w:t xml:space="preserve">of the Plaintiff’s </w:t>
      </w:r>
      <w:r>
        <w:rPr>
          <w:rFonts w:cs="Times New Roman"/>
          <w:szCs w:val="24"/>
        </w:rPr>
        <w:t>screenplay</w:t>
      </w:r>
      <w:r w:rsidR="00C5532E">
        <w:rPr>
          <w:rFonts w:cs="Times New Roman"/>
          <w:szCs w:val="24"/>
        </w:rPr>
        <w:t>s</w:t>
      </w:r>
      <w:r>
        <w:rPr>
          <w:rFonts w:cs="Times New Roman"/>
          <w:szCs w:val="24"/>
        </w:rPr>
        <w:t xml:space="preserve"> included a “particular premise, setting, characters, dialogue, and story.</w:t>
      </w:r>
      <w:r w:rsidR="00687591">
        <w:rPr>
          <w:rFonts w:cs="Times New Roman"/>
          <w:szCs w:val="24"/>
        </w:rPr>
        <w:t>”</w:t>
      </w:r>
      <w:r>
        <w:rPr>
          <w:rFonts w:cs="Times New Roman"/>
          <w:szCs w:val="24"/>
        </w:rPr>
        <w:t xml:space="preserve"> (Compl. ¶¶ 6-7.) </w:t>
      </w:r>
      <w:r w:rsidR="00C5532E">
        <w:rPr>
          <w:rFonts w:cs="Times New Roman"/>
          <w:szCs w:val="24"/>
        </w:rPr>
        <w:t>Plaintiff asserted that, a</w:t>
      </w:r>
      <w:r>
        <w:rPr>
          <w:rFonts w:cs="Times New Roman"/>
          <w:szCs w:val="24"/>
        </w:rPr>
        <w:t xml:space="preserve">s determined by the application of the Federal Copyright </w:t>
      </w:r>
      <w:r>
        <w:rPr>
          <w:rFonts w:cs="Times New Roman"/>
          <w:szCs w:val="24"/>
        </w:rPr>
        <w:lastRenderedPageBreak/>
        <w:t>Act of 1976, the Plaintiff</w:t>
      </w:r>
      <w:r w:rsidR="00C5532E">
        <w:rPr>
          <w:rFonts w:cs="Times New Roman"/>
          <w:szCs w:val="24"/>
        </w:rPr>
        <w:t xml:space="preserve"> was the </w:t>
      </w:r>
      <w:r>
        <w:rPr>
          <w:rFonts w:cs="Times New Roman"/>
          <w:szCs w:val="24"/>
        </w:rPr>
        <w:t>author</w:t>
      </w:r>
      <w:r w:rsidR="00C5532E">
        <w:rPr>
          <w:rFonts w:cs="Times New Roman"/>
          <w:szCs w:val="24"/>
        </w:rPr>
        <w:t xml:space="preserve"> of</w:t>
      </w:r>
      <w:r>
        <w:rPr>
          <w:rFonts w:cs="Times New Roman"/>
          <w:szCs w:val="24"/>
        </w:rPr>
        <w:t xml:space="preserve"> all episodes of </w:t>
      </w:r>
      <w:r>
        <w:rPr>
          <w:rFonts w:cs="Times New Roman"/>
          <w:i/>
          <w:szCs w:val="24"/>
        </w:rPr>
        <w:t>Lawless Love</w:t>
      </w:r>
      <w:r>
        <w:rPr>
          <w:rFonts w:cs="Times New Roman"/>
          <w:szCs w:val="24"/>
        </w:rPr>
        <w:t xml:space="preserve"> produced before April 2, 2010. (Compl. ¶ 8.) </w:t>
      </w:r>
    </w:p>
    <w:p w14:paraId="364ADFAB" w14:textId="77777777" w:rsidR="006B6E62" w:rsidRDefault="006B6E62" w:rsidP="006B6E62">
      <w:pPr>
        <w:spacing w:line="480" w:lineRule="auto"/>
        <w:contextualSpacing/>
        <w:rPr>
          <w:rFonts w:cs="Times New Roman"/>
          <w:szCs w:val="24"/>
        </w:rPr>
      </w:pPr>
      <w:r>
        <w:rPr>
          <w:rFonts w:cs="Times New Roman"/>
          <w:szCs w:val="24"/>
        </w:rPr>
        <w:tab/>
        <w:t xml:space="preserve">On March 27, 2010, Nelson, acting as the Plaintiff’s agent, met with Lime, “a writer who was not an employee of the Plaintiff” in order commission a screenplay for a single </w:t>
      </w:r>
      <w:r>
        <w:rPr>
          <w:rFonts w:cs="Times New Roman"/>
          <w:i/>
          <w:szCs w:val="24"/>
        </w:rPr>
        <w:t>Lawless Love</w:t>
      </w:r>
      <w:r>
        <w:rPr>
          <w:rFonts w:cs="Times New Roman"/>
          <w:szCs w:val="24"/>
        </w:rPr>
        <w:t xml:space="preserve"> episode. (Compl. ¶</w:t>
      </w:r>
      <w:r w:rsidR="00C5532E">
        <w:rPr>
          <w:rFonts w:cs="Times New Roman"/>
          <w:szCs w:val="24"/>
        </w:rPr>
        <w:t xml:space="preserve">¶ </w:t>
      </w:r>
      <w:r>
        <w:rPr>
          <w:rFonts w:cs="Times New Roman"/>
          <w:szCs w:val="24"/>
        </w:rPr>
        <w:t xml:space="preserve">9, 12.) Nelson and Lime orally agreed that Lime would prepare a screenplay for </w:t>
      </w:r>
      <w:r>
        <w:rPr>
          <w:rFonts w:cs="Times New Roman"/>
          <w:i/>
          <w:szCs w:val="24"/>
        </w:rPr>
        <w:t xml:space="preserve">Lawless Love, </w:t>
      </w:r>
      <w:r>
        <w:rPr>
          <w:rFonts w:cs="Times New Roman"/>
          <w:szCs w:val="24"/>
        </w:rPr>
        <w:t>utilizing her</w:t>
      </w:r>
      <w:r>
        <w:rPr>
          <w:rFonts w:cs="Times New Roman"/>
          <w:i/>
          <w:szCs w:val="24"/>
        </w:rPr>
        <w:t xml:space="preserve"> “</w:t>
      </w:r>
      <w:r>
        <w:rPr>
          <w:rFonts w:cs="Times New Roman"/>
          <w:szCs w:val="24"/>
        </w:rPr>
        <w:t xml:space="preserve">unique approach to the premise and characters of [the series],” with delivery </w:t>
      </w:r>
      <w:r w:rsidR="00C5532E">
        <w:rPr>
          <w:rFonts w:cs="Times New Roman"/>
          <w:szCs w:val="24"/>
        </w:rPr>
        <w:t xml:space="preserve">of the screenplay </w:t>
      </w:r>
      <w:r>
        <w:rPr>
          <w:rFonts w:cs="Times New Roman"/>
          <w:szCs w:val="24"/>
        </w:rPr>
        <w:t>on or before April 1, 2010</w:t>
      </w:r>
      <w:r w:rsidR="00C5532E">
        <w:rPr>
          <w:rFonts w:cs="Times New Roman"/>
          <w:szCs w:val="24"/>
        </w:rPr>
        <w:t>,</w:t>
      </w:r>
      <w:r>
        <w:rPr>
          <w:rFonts w:cs="Times New Roman"/>
          <w:szCs w:val="24"/>
        </w:rPr>
        <w:t xml:space="preserve"> and for remuneration of $6,000. (Compl. ¶¶ 13-15.) Lime orally acknowledged understanding that the Plaintiff considered the assignment to be “for hire</w:t>
      </w:r>
      <w:r w:rsidR="00C5532E">
        <w:rPr>
          <w:rFonts w:cs="Times New Roman"/>
          <w:szCs w:val="24"/>
        </w:rPr>
        <w:t>,</w:t>
      </w:r>
      <w:r>
        <w:rPr>
          <w:rFonts w:cs="Times New Roman"/>
          <w:szCs w:val="24"/>
        </w:rPr>
        <w:t xml:space="preserve">” and that </w:t>
      </w:r>
      <w:r w:rsidR="00C5532E">
        <w:rPr>
          <w:rFonts w:cs="Times New Roman"/>
          <w:szCs w:val="24"/>
        </w:rPr>
        <w:t>Plaintiff would be considered the author of the screenplay Anticipatory Repudiation</w:t>
      </w:r>
      <w:r>
        <w:rPr>
          <w:rFonts w:cs="Times New Roman"/>
          <w:szCs w:val="24"/>
        </w:rPr>
        <w:t xml:space="preserve">.” (Compl. ¶¶ 16-17.) </w:t>
      </w:r>
    </w:p>
    <w:p w14:paraId="71736701" w14:textId="77777777" w:rsidR="006B6E62" w:rsidRDefault="006B6E62" w:rsidP="006B6E62">
      <w:pPr>
        <w:spacing w:line="480" w:lineRule="auto"/>
        <w:ind w:firstLine="720"/>
        <w:contextualSpacing/>
        <w:rPr>
          <w:rFonts w:cs="Times New Roman"/>
          <w:szCs w:val="24"/>
        </w:rPr>
      </w:pPr>
      <w:r>
        <w:rPr>
          <w:rFonts w:cs="Times New Roman"/>
          <w:szCs w:val="24"/>
        </w:rPr>
        <w:t>L</w:t>
      </w:r>
      <w:r w:rsidR="000D33D4">
        <w:rPr>
          <w:rFonts w:cs="Times New Roman"/>
          <w:szCs w:val="24"/>
        </w:rPr>
        <w:t>ime delivered the</w:t>
      </w:r>
      <w:r>
        <w:rPr>
          <w:rFonts w:cs="Times New Roman"/>
          <w:szCs w:val="24"/>
        </w:rPr>
        <w:t xml:space="preserve"> screenplay, entitled “Anticipatory Repudiation” on April 1, 2010, to Plaintiff, who sought and received a certificate of registration from the Register of Copyrights on April 2, 2010. (Compl. ¶¶ 21-22.)  On April 6, 2010, five days following the delivery of the screenplay, Plaintiff issued a check for $6,000 to Lime and presented </w:t>
      </w:r>
      <w:r w:rsidR="000D33D4">
        <w:rPr>
          <w:rFonts w:cs="Times New Roman"/>
          <w:szCs w:val="24"/>
        </w:rPr>
        <w:t xml:space="preserve">her </w:t>
      </w:r>
      <w:r>
        <w:rPr>
          <w:rFonts w:cs="Times New Roman"/>
          <w:szCs w:val="24"/>
        </w:rPr>
        <w:t>with a “document labeled ‘Work-</w:t>
      </w:r>
      <w:r w:rsidR="000D33D4">
        <w:rPr>
          <w:rFonts w:cs="Times New Roman"/>
          <w:szCs w:val="24"/>
        </w:rPr>
        <w:t xml:space="preserve">Made-For-Hire Agreement” </w:t>
      </w:r>
      <w:r>
        <w:rPr>
          <w:rFonts w:cs="Times New Roman"/>
          <w:szCs w:val="24"/>
        </w:rPr>
        <w:t xml:space="preserve">for her signature; </w:t>
      </w:r>
      <w:r w:rsidR="000D33D4">
        <w:rPr>
          <w:rFonts w:cs="Times New Roman"/>
          <w:szCs w:val="24"/>
        </w:rPr>
        <w:t>this document</w:t>
      </w:r>
      <w:r>
        <w:rPr>
          <w:rFonts w:cs="Times New Roman"/>
          <w:szCs w:val="24"/>
        </w:rPr>
        <w:t xml:space="preserve"> was also signed by Nelson. (Compl. ¶¶ 24-25.)  On June 1, 2010, Lime was informed that her screenplay was not appropriate for the series from thematic and quality perspectives. (Compl. ¶ 26.)</w:t>
      </w:r>
    </w:p>
    <w:p w14:paraId="734380EE" w14:textId="77777777" w:rsidR="006B6E62" w:rsidRDefault="006B6E62" w:rsidP="006B6E62">
      <w:pPr>
        <w:spacing w:line="480" w:lineRule="auto"/>
        <w:ind w:firstLine="720"/>
        <w:contextualSpacing/>
        <w:rPr>
          <w:rFonts w:cs="Times New Roman"/>
          <w:szCs w:val="24"/>
        </w:rPr>
      </w:pPr>
      <w:r>
        <w:rPr>
          <w:rFonts w:cs="Times New Roman"/>
          <w:szCs w:val="24"/>
        </w:rPr>
        <w:t xml:space="preserve">In August of 2010, </w:t>
      </w:r>
      <w:r w:rsidR="0011144A">
        <w:rPr>
          <w:rFonts w:cs="Times New Roman"/>
          <w:szCs w:val="24"/>
        </w:rPr>
        <w:t>Defendant</w:t>
      </w:r>
      <w:r>
        <w:rPr>
          <w:rFonts w:cs="Times New Roman"/>
          <w:szCs w:val="24"/>
        </w:rPr>
        <w:t>s Lime and TinyTV, working t</w:t>
      </w:r>
      <w:r w:rsidR="000D33D4">
        <w:rPr>
          <w:rFonts w:cs="Times New Roman"/>
          <w:szCs w:val="24"/>
        </w:rPr>
        <w:t xml:space="preserve">ogether, produced an episode, entitled “The Love Below,” for </w:t>
      </w:r>
      <w:r>
        <w:rPr>
          <w:rFonts w:cs="Times New Roman"/>
          <w:szCs w:val="24"/>
        </w:rPr>
        <w:t xml:space="preserve">a new television series; </w:t>
      </w:r>
      <w:r w:rsidR="000D33D4">
        <w:rPr>
          <w:rFonts w:cs="Times New Roman"/>
          <w:i/>
          <w:szCs w:val="24"/>
        </w:rPr>
        <w:t>The Tin Can;</w:t>
      </w:r>
      <w:r>
        <w:rPr>
          <w:rFonts w:cs="Times New Roman"/>
          <w:szCs w:val="24"/>
        </w:rPr>
        <w:t xml:space="preserve"> </w:t>
      </w:r>
      <w:r w:rsidR="000D33D4">
        <w:rPr>
          <w:rFonts w:cs="Times New Roman"/>
          <w:szCs w:val="24"/>
        </w:rPr>
        <w:t>the Plaintiff believes the episode</w:t>
      </w:r>
      <w:r>
        <w:rPr>
          <w:rFonts w:cs="Times New Roman"/>
          <w:szCs w:val="24"/>
        </w:rPr>
        <w:t xml:space="preserve"> be substantially similar to “Plaintiff’s copyrighted screenplay.” (Compl. ¶¶ 27-28.)  </w:t>
      </w:r>
      <w:r w:rsidR="000D33D4">
        <w:rPr>
          <w:rFonts w:cs="Times New Roman"/>
          <w:szCs w:val="24"/>
        </w:rPr>
        <w:t>TinyTV produced t</w:t>
      </w:r>
      <w:r>
        <w:rPr>
          <w:rFonts w:cs="Times New Roman"/>
          <w:szCs w:val="24"/>
        </w:rPr>
        <w:t>he episode “The Love Below</w:t>
      </w:r>
      <w:r w:rsidR="000D33D4">
        <w:rPr>
          <w:rFonts w:cs="Times New Roman"/>
          <w:szCs w:val="24"/>
        </w:rPr>
        <w:t>,</w:t>
      </w:r>
      <w:r>
        <w:rPr>
          <w:rFonts w:cs="Times New Roman"/>
          <w:szCs w:val="24"/>
        </w:rPr>
        <w:t xml:space="preserve">” </w:t>
      </w:r>
      <w:r w:rsidR="000D33D4">
        <w:rPr>
          <w:rFonts w:cs="Times New Roman"/>
          <w:szCs w:val="24"/>
        </w:rPr>
        <w:t xml:space="preserve">and it </w:t>
      </w:r>
      <w:r>
        <w:rPr>
          <w:rFonts w:cs="Times New Roman"/>
          <w:szCs w:val="24"/>
        </w:rPr>
        <w:t xml:space="preserve">was </w:t>
      </w:r>
      <w:r w:rsidR="000D33D4">
        <w:rPr>
          <w:rFonts w:cs="Times New Roman"/>
          <w:szCs w:val="24"/>
        </w:rPr>
        <w:t xml:space="preserve">nationally broadcast on September 7, 2010, via </w:t>
      </w:r>
      <w:r>
        <w:rPr>
          <w:rFonts w:cs="Times New Roman"/>
          <w:szCs w:val="24"/>
        </w:rPr>
        <w:t xml:space="preserve">TinyTV’s cable TV channel. (Compl. ¶ 29.)  On September 15, 2010, Plaintiff informed </w:t>
      </w:r>
      <w:r w:rsidR="0011144A">
        <w:rPr>
          <w:rFonts w:cs="Times New Roman"/>
          <w:szCs w:val="24"/>
        </w:rPr>
        <w:t>Defendant</w:t>
      </w:r>
      <w:r>
        <w:rPr>
          <w:rFonts w:cs="Times New Roman"/>
          <w:szCs w:val="24"/>
        </w:rPr>
        <w:t xml:space="preserve">s Lime and TinyTV that Plaintiff held them to have infringed upon </w:t>
      </w:r>
      <w:r>
        <w:rPr>
          <w:rFonts w:cs="Times New Roman"/>
          <w:szCs w:val="24"/>
        </w:rPr>
        <w:lastRenderedPageBreak/>
        <w:t>and were continuing to infringe upon a copyright Plaintiff believed and believes to hold</w:t>
      </w:r>
      <w:r w:rsidR="000D33D4">
        <w:rPr>
          <w:rFonts w:cs="Times New Roman"/>
          <w:szCs w:val="24"/>
        </w:rPr>
        <w:t>.</w:t>
      </w:r>
      <w:r>
        <w:rPr>
          <w:rFonts w:cs="Times New Roman"/>
          <w:szCs w:val="24"/>
        </w:rPr>
        <w:t xml:space="preserve"> (Compl. </w:t>
      </w:r>
      <w:r w:rsidR="000D33D4">
        <w:rPr>
          <w:rFonts w:cs="Times New Roman"/>
          <w:szCs w:val="24"/>
        </w:rPr>
        <w:t xml:space="preserve">¶ </w:t>
      </w:r>
      <w:r>
        <w:rPr>
          <w:rFonts w:cs="Times New Roman"/>
          <w:szCs w:val="24"/>
        </w:rPr>
        <w:t xml:space="preserve">33.) </w:t>
      </w:r>
    </w:p>
    <w:p w14:paraId="7FB61621" w14:textId="77777777" w:rsidR="00387483" w:rsidRDefault="000A4D22" w:rsidP="000A4D22">
      <w:pPr>
        <w:jc w:val="center"/>
        <w:rPr>
          <w:b/>
          <w:u w:val="single"/>
        </w:rPr>
      </w:pPr>
      <w:r w:rsidRPr="000A4D22">
        <w:rPr>
          <w:b/>
          <w:u w:val="single"/>
        </w:rPr>
        <w:t>ARGUMENT</w:t>
      </w:r>
    </w:p>
    <w:p w14:paraId="077BF0F2" w14:textId="77777777" w:rsidR="000A4D22" w:rsidRDefault="000A4D22" w:rsidP="000A4D22">
      <w:pPr>
        <w:spacing w:line="480" w:lineRule="auto"/>
      </w:pPr>
      <w:r>
        <w:tab/>
        <w:t xml:space="preserve">The Federal Rules of Civil Procedure allow the courts to dispose of litigation that fails to “state claim upon which relief can be granted.” </w:t>
      </w:r>
      <w:r w:rsidR="00332DF0" w:rsidRPr="00332DF0">
        <w:rPr>
          <w:i/>
        </w:rPr>
        <w:t>Fed. R. Civ. P.</w:t>
      </w:r>
      <w:r w:rsidR="00332DF0" w:rsidRPr="00332DF0">
        <w:t xml:space="preserve"> </w:t>
      </w:r>
      <w:r w:rsidRPr="000A4D22">
        <w:rPr>
          <w:i/>
        </w:rPr>
        <w:t>12(b)(6</w:t>
      </w:r>
      <w:r>
        <w:rPr>
          <w:i/>
        </w:rPr>
        <w:t>)</w:t>
      </w:r>
      <w:r>
        <w:t xml:space="preserve">.  </w:t>
      </w:r>
      <w:r w:rsidR="00027F5D">
        <w:t>This motion offers the court the opport</w:t>
      </w:r>
      <w:r w:rsidR="00332DF0">
        <w:t>unity to rid its docket of</w:t>
      </w:r>
      <w:r w:rsidR="00027F5D">
        <w:t xml:space="preserve"> c</w:t>
      </w:r>
      <w:r w:rsidR="00332DF0">
        <w:t xml:space="preserve">laims alleged </w:t>
      </w:r>
      <w:r w:rsidR="00027F5D">
        <w:t xml:space="preserve">which lack the “right or power to assert.” </w:t>
      </w:r>
      <w:r w:rsidR="00027F5D">
        <w:rPr>
          <w:i/>
        </w:rPr>
        <w:t>Leimer v. State Mut. Life Assurance Co.</w:t>
      </w:r>
      <w:r w:rsidR="00027F5D" w:rsidRPr="00027F5D">
        <w:t>, 108 F.2d 302, 306</w:t>
      </w:r>
      <w:r w:rsidR="00027F5D">
        <w:t xml:space="preserve"> (8th Cir. 1940)</w:t>
      </w:r>
      <w:r w:rsidR="00027F5D" w:rsidRPr="00027F5D">
        <w:t>.</w:t>
      </w:r>
      <w:r w:rsidR="00027F5D">
        <w:t xml:space="preserve">  Additionally, it serves to offer the </w:t>
      </w:r>
      <w:r w:rsidR="0011144A">
        <w:t>Defendant</w:t>
      </w:r>
      <w:r w:rsidR="00027F5D">
        <w:t xml:space="preserve"> the opportunity to rapidly dispose of claims that are “without foundation or substance.</w:t>
      </w:r>
      <w:r w:rsidR="00E37DA0">
        <w:t>”</w:t>
      </w:r>
      <w:r w:rsidR="00027F5D">
        <w:t xml:space="preserve"> </w:t>
      </w:r>
      <w:r w:rsidR="00027F5D">
        <w:rPr>
          <w:i/>
        </w:rPr>
        <w:t>Id</w:t>
      </w:r>
      <w:r w:rsidR="00027F5D">
        <w:t xml:space="preserve">.  </w:t>
      </w:r>
      <w:r w:rsidR="00E37DA0">
        <w:t>Should</w:t>
      </w:r>
      <w:r w:rsidR="00B0599F">
        <w:t xml:space="preserve"> the </w:t>
      </w:r>
      <w:r w:rsidR="00E37DA0">
        <w:t xml:space="preserve">court’s </w:t>
      </w:r>
      <w:r w:rsidR="00B0599F">
        <w:t>evaluation of the plaintiff’s claim determ</w:t>
      </w:r>
      <w:r w:rsidR="00E37DA0">
        <w:t>ine</w:t>
      </w:r>
      <w:r w:rsidR="00B0599F">
        <w:t xml:space="preserve"> that the plaintiff would undoubtedly be unable to prove a “set of facts” that show that </w:t>
      </w:r>
      <w:r w:rsidR="00332DF0">
        <w:t>the plaintiff</w:t>
      </w:r>
      <w:r w:rsidR="00B0599F">
        <w:t xml:space="preserve"> is entitled to relief, dismissal of the claim at this stage is appropriate </w:t>
      </w:r>
      <w:r w:rsidR="00E37DA0">
        <w:t xml:space="preserve">and economical </w:t>
      </w:r>
      <w:r w:rsidR="00B0599F">
        <w:t xml:space="preserve">use of </w:t>
      </w:r>
      <w:r w:rsidR="00E37DA0">
        <w:t xml:space="preserve">scarce </w:t>
      </w:r>
      <w:r w:rsidR="00B0599F">
        <w:t xml:space="preserve">judicial resources. </w:t>
      </w:r>
      <w:r w:rsidR="00332DF0">
        <w:rPr>
          <w:i/>
        </w:rPr>
        <w:t xml:space="preserve">See </w:t>
      </w:r>
      <w:r w:rsidR="00B0599F">
        <w:rPr>
          <w:i/>
        </w:rPr>
        <w:t>Conley v. Gibson</w:t>
      </w:r>
      <w:r w:rsidR="00F42501">
        <w:t>, 355 U.S. 41, 45-46 (1957)</w:t>
      </w:r>
      <w:r w:rsidR="00332DF0">
        <w:t xml:space="preserve"> (articulating the established standard for claim dismissal)</w:t>
      </w:r>
      <w:r w:rsidR="00F42501">
        <w:t xml:space="preserve">.  In order to be judicious, the plaintiff’s allegations are evaluated under circumstances that are most favorable to the plaintiff. </w:t>
      </w:r>
      <w:r w:rsidR="00F42501">
        <w:rPr>
          <w:i/>
        </w:rPr>
        <w:t>S</w:t>
      </w:r>
      <w:r w:rsidR="00332DF0">
        <w:rPr>
          <w:i/>
        </w:rPr>
        <w:t>ee S</w:t>
      </w:r>
      <w:r w:rsidR="00F42501">
        <w:rPr>
          <w:i/>
        </w:rPr>
        <w:t>cheur v. Rhodes</w:t>
      </w:r>
      <w:r w:rsidR="00F42501">
        <w:t>, 416 U</w:t>
      </w:r>
      <w:r w:rsidR="00332DF0">
        <w:t>.S. 232, 236 (1974) (</w:t>
      </w:r>
      <w:r w:rsidR="008C51F6">
        <w:t>determining that the non-moving party is entitled to the benefit of the doubt concerning factual assertions)</w:t>
      </w:r>
      <w:r w:rsidR="00332DF0">
        <w:t>.  T</w:t>
      </w:r>
      <w:r w:rsidR="00F42501">
        <w:t>o survive a motion to dismiss</w:t>
      </w:r>
      <w:r w:rsidR="00332DF0">
        <w:t>,</w:t>
      </w:r>
      <w:r w:rsidR="00F42501">
        <w:t xml:space="preserve"> the plaintiff </w:t>
      </w:r>
      <w:r w:rsidR="00332DF0">
        <w:t>must</w:t>
      </w:r>
      <w:r w:rsidR="00F42501">
        <w:t xml:space="preserve"> allege </w:t>
      </w:r>
      <w:r w:rsidR="000673B6">
        <w:t xml:space="preserve">facts that state a “plausible claim for relief;” failure to assert a plausible claim grants the court the possibility to dismiss untenable assertions. </w:t>
      </w:r>
      <w:r w:rsidR="000673B6">
        <w:rPr>
          <w:i/>
        </w:rPr>
        <w:t>Ashcroft v. Iqbal</w:t>
      </w:r>
      <w:r w:rsidR="000673B6">
        <w:t xml:space="preserve">, </w:t>
      </w:r>
      <w:r w:rsidR="008C51F6" w:rsidRPr="008C51F6">
        <w:t>556 U.S. 662</w:t>
      </w:r>
      <w:r w:rsidR="000673B6">
        <w:t xml:space="preserve">, </w:t>
      </w:r>
      <w:r w:rsidR="008C51F6" w:rsidRPr="008C51F6">
        <w:t xml:space="preserve">129 S. Ct. 1937, </w:t>
      </w:r>
      <w:r w:rsidR="000673B6">
        <w:t>1950 (2009).</w:t>
      </w:r>
    </w:p>
    <w:p w14:paraId="38D71841" w14:textId="77777777" w:rsidR="00581E82" w:rsidRPr="0061074D" w:rsidRDefault="00581E82" w:rsidP="00581E82">
      <w:pPr>
        <w:pStyle w:val="ListParagraph"/>
        <w:numPr>
          <w:ilvl w:val="0"/>
          <w:numId w:val="1"/>
        </w:numPr>
        <w:spacing w:line="240" w:lineRule="auto"/>
        <w:rPr>
          <w:rFonts w:ascii="Times New Roman" w:hAnsi="Times New Roman" w:cs="Times New Roman"/>
          <w:b/>
          <w:sz w:val="24"/>
          <w:szCs w:val="24"/>
        </w:rPr>
      </w:pPr>
      <w:r w:rsidRPr="0061074D">
        <w:rPr>
          <w:rFonts w:ascii="Times New Roman" w:hAnsi="Times New Roman" w:cs="Times New Roman"/>
          <w:b/>
          <w:sz w:val="24"/>
          <w:szCs w:val="24"/>
        </w:rPr>
        <w:t>DEFENDANTS</w:t>
      </w:r>
      <w:r>
        <w:rPr>
          <w:rFonts w:ascii="Times New Roman" w:hAnsi="Times New Roman" w:cs="Times New Roman"/>
          <w:b/>
          <w:sz w:val="24"/>
          <w:szCs w:val="24"/>
        </w:rPr>
        <w:t>’</w:t>
      </w:r>
      <w:r w:rsidRPr="0061074D">
        <w:rPr>
          <w:rFonts w:ascii="Times New Roman" w:hAnsi="Times New Roman" w:cs="Times New Roman"/>
          <w:b/>
          <w:sz w:val="24"/>
          <w:szCs w:val="24"/>
        </w:rPr>
        <w:t xml:space="preserve"> </w:t>
      </w:r>
      <w:r>
        <w:rPr>
          <w:rFonts w:ascii="Times New Roman" w:hAnsi="Times New Roman" w:cs="Times New Roman"/>
          <w:b/>
          <w:sz w:val="24"/>
          <w:szCs w:val="24"/>
        </w:rPr>
        <w:t xml:space="preserve">PRODUCTION </w:t>
      </w:r>
      <w:r w:rsidR="006F15E7">
        <w:rPr>
          <w:rFonts w:ascii="Times New Roman" w:hAnsi="Times New Roman" w:cs="Times New Roman"/>
          <w:b/>
          <w:sz w:val="24"/>
          <w:szCs w:val="24"/>
        </w:rPr>
        <w:t xml:space="preserve">AND USE </w:t>
      </w:r>
      <w:r>
        <w:rPr>
          <w:rFonts w:ascii="Times New Roman" w:hAnsi="Times New Roman" w:cs="Times New Roman"/>
          <w:b/>
          <w:sz w:val="24"/>
          <w:szCs w:val="24"/>
        </w:rPr>
        <w:t>OF THE SCREENPLAY “ANTICIPATORY RE</w:t>
      </w:r>
      <w:r w:rsidR="006F15E7">
        <w:rPr>
          <w:rFonts w:ascii="Times New Roman" w:hAnsi="Times New Roman" w:cs="Times New Roman"/>
          <w:b/>
          <w:sz w:val="24"/>
          <w:szCs w:val="24"/>
        </w:rPr>
        <w:t>PUDIATION</w:t>
      </w:r>
      <w:r>
        <w:rPr>
          <w:rFonts w:ascii="Times New Roman" w:hAnsi="Times New Roman" w:cs="Times New Roman"/>
          <w:b/>
          <w:sz w:val="24"/>
          <w:szCs w:val="24"/>
        </w:rPr>
        <w:t xml:space="preserve">” DID NOT CONSTITUTE A WORK-MADE-FOR-HIRE </w:t>
      </w:r>
      <w:r w:rsidRPr="0061074D">
        <w:rPr>
          <w:rFonts w:ascii="Times New Roman" w:hAnsi="Times New Roman" w:cs="Times New Roman"/>
          <w:b/>
          <w:sz w:val="24"/>
          <w:szCs w:val="24"/>
        </w:rPr>
        <w:t>UNDER 1</w:t>
      </w:r>
      <w:r>
        <w:rPr>
          <w:rFonts w:ascii="Times New Roman" w:hAnsi="Times New Roman" w:cs="Times New Roman"/>
          <w:b/>
          <w:sz w:val="24"/>
          <w:szCs w:val="24"/>
        </w:rPr>
        <w:t>7</w:t>
      </w:r>
      <w:r w:rsidRPr="0061074D">
        <w:rPr>
          <w:rFonts w:ascii="Times New Roman" w:hAnsi="Times New Roman" w:cs="Times New Roman"/>
          <w:b/>
          <w:sz w:val="24"/>
          <w:szCs w:val="24"/>
        </w:rPr>
        <w:t xml:space="preserve"> U.S.C. §</w:t>
      </w:r>
      <w:r>
        <w:rPr>
          <w:rFonts w:ascii="Times New Roman" w:hAnsi="Times New Roman" w:cs="Times New Roman"/>
          <w:b/>
          <w:sz w:val="24"/>
          <w:szCs w:val="24"/>
        </w:rPr>
        <w:t>101 BECAUSE NO WRITTEN AGREEMENT WAS CONCLUDED PRIOR TO THE CREATION AND DELIVERY OF THE SCREEPLAY.</w:t>
      </w:r>
    </w:p>
    <w:p w14:paraId="2ECA5320" w14:textId="77777777" w:rsidR="00581E82" w:rsidRPr="0061074D" w:rsidRDefault="00581E82" w:rsidP="00581E82">
      <w:pPr>
        <w:spacing w:line="240" w:lineRule="auto"/>
        <w:rPr>
          <w:rFonts w:cs="Times New Roman"/>
          <w:b/>
          <w:szCs w:val="24"/>
        </w:rPr>
      </w:pPr>
    </w:p>
    <w:p w14:paraId="22E3C07A" w14:textId="77777777" w:rsidR="00581E82" w:rsidRDefault="00581E82" w:rsidP="006F15E7">
      <w:pPr>
        <w:spacing w:line="480" w:lineRule="auto"/>
        <w:ind w:firstLine="720"/>
        <w:rPr>
          <w:rFonts w:cs="Times New Roman"/>
          <w:szCs w:val="24"/>
        </w:rPr>
      </w:pPr>
      <w:r w:rsidRPr="00581E82">
        <w:rPr>
          <w:rFonts w:cs="Times New Roman"/>
          <w:szCs w:val="24"/>
        </w:rPr>
        <w:lastRenderedPageBreak/>
        <w:t xml:space="preserve">The </w:t>
      </w:r>
      <w:r w:rsidRPr="006F15E7">
        <w:t>Copyright</w:t>
      </w:r>
      <w:r w:rsidRPr="00581E82">
        <w:rPr>
          <w:rFonts w:cs="Times New Roman"/>
          <w:szCs w:val="24"/>
        </w:rPr>
        <w:t xml:space="preserve"> Act of 1976 17 U.S.C. §101 prov</w:t>
      </w:r>
      <w:r w:rsidR="00C415B5">
        <w:rPr>
          <w:rFonts w:cs="Times New Roman"/>
          <w:szCs w:val="24"/>
        </w:rPr>
        <w:t>ides that a work can be designated</w:t>
      </w:r>
      <w:r w:rsidRPr="00581E82">
        <w:rPr>
          <w:rFonts w:cs="Times New Roman"/>
          <w:szCs w:val="24"/>
        </w:rPr>
        <w:t xml:space="preserve"> a work-made-for-hire only if it complies with specific criteria:</w:t>
      </w:r>
    </w:p>
    <w:p w14:paraId="165BD799" w14:textId="77777777" w:rsidR="00581E82" w:rsidRPr="00581E82" w:rsidRDefault="00581E82" w:rsidP="00581E82">
      <w:pPr>
        <w:pStyle w:val="ListParagraph"/>
        <w:spacing w:line="240" w:lineRule="auto"/>
        <w:ind w:left="1080"/>
        <w:rPr>
          <w:rFonts w:ascii="Times New Roman" w:hAnsi="Times New Roman" w:cs="Times New Roman"/>
          <w:sz w:val="24"/>
          <w:szCs w:val="24"/>
        </w:rPr>
      </w:pPr>
    </w:p>
    <w:p w14:paraId="5C6AC2CD" w14:textId="77777777" w:rsidR="00581E82" w:rsidRDefault="00581E82" w:rsidP="00581E82">
      <w:pPr>
        <w:pStyle w:val="ListParagraph"/>
        <w:spacing w:line="240" w:lineRule="auto"/>
        <w:ind w:left="1080"/>
        <w:rPr>
          <w:rFonts w:ascii="Times New Roman" w:hAnsi="Times New Roman" w:cs="Times New Roman"/>
          <w:sz w:val="24"/>
          <w:szCs w:val="24"/>
        </w:rPr>
      </w:pPr>
      <w:r w:rsidRPr="00581E82">
        <w:rPr>
          <w:rFonts w:ascii="Times New Roman" w:hAnsi="Times New Roman" w:cs="Times New Roman"/>
          <w:sz w:val="24"/>
          <w:szCs w:val="24"/>
        </w:rPr>
        <w:t>(1) a work prepared by an employee within the scope of his or her employment; or</w:t>
      </w:r>
      <w:r>
        <w:rPr>
          <w:rFonts w:ascii="Times New Roman" w:hAnsi="Times New Roman" w:cs="Times New Roman"/>
          <w:sz w:val="24"/>
          <w:szCs w:val="24"/>
        </w:rPr>
        <w:t xml:space="preserve"> </w:t>
      </w:r>
      <w:r w:rsidR="006F15E7">
        <w:rPr>
          <w:rFonts w:ascii="Times New Roman" w:hAnsi="Times New Roman" w:cs="Times New Roman"/>
          <w:sz w:val="24"/>
          <w:szCs w:val="24"/>
        </w:rPr>
        <w:br/>
      </w:r>
      <w:r w:rsidRPr="0061074D">
        <w:rPr>
          <w:rFonts w:ascii="Times New Roman" w:hAnsi="Times New Roman" w:cs="Times New Roman"/>
          <w:sz w:val="24"/>
          <w:szCs w:val="24"/>
        </w:rPr>
        <w:t>(2)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w:t>
      </w:r>
    </w:p>
    <w:p w14:paraId="06C0117C" w14:textId="77777777" w:rsidR="00C415B5" w:rsidRDefault="00C415B5" w:rsidP="00581E82">
      <w:pPr>
        <w:pStyle w:val="ListParagraph"/>
        <w:spacing w:line="240" w:lineRule="auto"/>
        <w:ind w:left="1080"/>
        <w:rPr>
          <w:rFonts w:ascii="Times New Roman" w:hAnsi="Times New Roman" w:cs="Times New Roman"/>
          <w:sz w:val="24"/>
          <w:szCs w:val="24"/>
        </w:rPr>
      </w:pPr>
    </w:p>
    <w:p w14:paraId="116B81D0" w14:textId="77777777" w:rsidR="00581E82" w:rsidRDefault="00581E82" w:rsidP="00581E82">
      <w:pPr>
        <w:spacing w:line="480" w:lineRule="auto"/>
        <w:ind w:firstLine="720"/>
        <w:rPr>
          <w:rFonts w:cs="Times New Roman"/>
          <w:szCs w:val="24"/>
        </w:rPr>
      </w:pPr>
      <w:r>
        <w:t>The plain meaning of §101 show</w:t>
      </w:r>
      <w:r w:rsidR="007757FD">
        <w:t>s</w:t>
      </w:r>
      <w:r>
        <w:t xml:space="preserve"> that </w:t>
      </w:r>
      <w:r w:rsidR="007757FD">
        <w:t xml:space="preserve">“Anticipatory Repudiation” was not created under the </w:t>
      </w:r>
      <w:r w:rsidR="006F15E7">
        <w:t>Title’s specified criteria</w:t>
      </w:r>
      <w:r w:rsidR="007757FD">
        <w:t xml:space="preserve"> and</w:t>
      </w:r>
      <w:r w:rsidR="006F15E7">
        <w:t>,</w:t>
      </w:r>
      <w:r w:rsidR="007757FD">
        <w:t xml:space="preserve"> therefore</w:t>
      </w:r>
      <w:r w:rsidR="006F15E7">
        <w:t>, cannot be considered</w:t>
      </w:r>
      <w:r w:rsidR="007757FD">
        <w:t xml:space="preserve"> a work-made-for-hire.  </w:t>
      </w:r>
      <w:r w:rsidRPr="00581E82">
        <w:t>The</w:t>
      </w:r>
      <w:r w:rsidRPr="0061074D">
        <w:rPr>
          <w:rFonts w:cs="Times New Roman"/>
          <w:szCs w:val="24"/>
        </w:rPr>
        <w:t xml:space="preserve"> legislative history of </w:t>
      </w:r>
      <w:r w:rsidR="006F15E7">
        <w:rPr>
          <w:rFonts w:cs="Times New Roman"/>
          <w:szCs w:val="24"/>
        </w:rPr>
        <w:t xml:space="preserve">the Copyright Act of 1976, </w:t>
      </w:r>
      <w:r>
        <w:rPr>
          <w:rFonts w:cs="Times New Roman"/>
          <w:szCs w:val="24"/>
        </w:rPr>
        <w:t xml:space="preserve">subsequent statutory enactments, </w:t>
      </w:r>
      <w:r w:rsidRPr="0061074D">
        <w:rPr>
          <w:rFonts w:cs="Times New Roman"/>
          <w:szCs w:val="24"/>
        </w:rPr>
        <w:t xml:space="preserve">and </w:t>
      </w:r>
      <w:r>
        <w:rPr>
          <w:rFonts w:cs="Times New Roman"/>
          <w:szCs w:val="24"/>
        </w:rPr>
        <w:t xml:space="preserve">relevant </w:t>
      </w:r>
      <w:r w:rsidRPr="0061074D">
        <w:rPr>
          <w:rFonts w:cs="Times New Roman"/>
          <w:szCs w:val="24"/>
        </w:rPr>
        <w:t xml:space="preserve">judicial interpretations </w:t>
      </w:r>
      <w:r w:rsidR="007757FD">
        <w:rPr>
          <w:rFonts w:cs="Times New Roman"/>
          <w:szCs w:val="24"/>
        </w:rPr>
        <w:t>of</w:t>
      </w:r>
      <w:r w:rsidRPr="0061074D">
        <w:rPr>
          <w:rFonts w:cs="Times New Roman"/>
          <w:szCs w:val="24"/>
        </w:rPr>
        <w:t xml:space="preserve"> cas</w:t>
      </w:r>
      <w:r>
        <w:rPr>
          <w:rFonts w:cs="Times New Roman"/>
          <w:szCs w:val="24"/>
        </w:rPr>
        <w:t>e law support the plain meanin</w:t>
      </w:r>
      <w:r w:rsidR="007757FD">
        <w:rPr>
          <w:rFonts w:cs="Times New Roman"/>
          <w:szCs w:val="24"/>
        </w:rPr>
        <w:t>g interpretation of §101.</w:t>
      </w:r>
    </w:p>
    <w:p w14:paraId="645FD224" w14:textId="77777777" w:rsidR="003063B2" w:rsidRDefault="003063B2" w:rsidP="003063B2">
      <w:pPr>
        <w:pStyle w:val="ListParagraph"/>
        <w:numPr>
          <w:ilvl w:val="0"/>
          <w:numId w:val="2"/>
        </w:numPr>
        <w:spacing w:line="240" w:lineRule="auto"/>
        <w:rPr>
          <w:rFonts w:ascii="Times New Roman" w:hAnsi="Times New Roman" w:cs="Times New Roman"/>
          <w:b/>
          <w:sz w:val="24"/>
          <w:szCs w:val="24"/>
        </w:rPr>
      </w:pPr>
      <w:r>
        <w:rPr>
          <w:rFonts w:ascii="Times New Roman" w:hAnsi="Times New Roman" w:cs="Times New Roman"/>
          <w:b/>
          <w:sz w:val="24"/>
          <w:szCs w:val="24"/>
        </w:rPr>
        <w:t xml:space="preserve">The </w:t>
      </w:r>
      <w:r w:rsidR="002639E6">
        <w:rPr>
          <w:rFonts w:ascii="Times New Roman" w:hAnsi="Times New Roman" w:cs="Times New Roman"/>
          <w:b/>
          <w:sz w:val="24"/>
          <w:szCs w:val="24"/>
        </w:rPr>
        <w:t xml:space="preserve">Plain Language of </w:t>
      </w:r>
      <w:r w:rsidR="004A35B4">
        <w:rPr>
          <w:rFonts w:ascii="Times New Roman" w:hAnsi="Times New Roman" w:cs="Times New Roman"/>
          <w:b/>
          <w:sz w:val="24"/>
          <w:szCs w:val="24"/>
        </w:rPr>
        <w:t>17 U.S.C §101</w:t>
      </w:r>
      <w:r w:rsidR="002639E6">
        <w:rPr>
          <w:rFonts w:ascii="Times New Roman" w:hAnsi="Times New Roman" w:cs="Times New Roman"/>
          <w:b/>
          <w:sz w:val="24"/>
          <w:szCs w:val="24"/>
        </w:rPr>
        <w:t xml:space="preserve"> Shows That the Conditions Surrounding the Creation of “Anticipatory Repudiation” Does Not Support the Argument That the Screenplay Was a Work-Made-for-Hire Product</w:t>
      </w:r>
    </w:p>
    <w:p w14:paraId="4B0D9727" w14:textId="77777777" w:rsidR="003063B2" w:rsidRPr="0061074D" w:rsidRDefault="003063B2" w:rsidP="003063B2">
      <w:pPr>
        <w:pStyle w:val="ListParagraph"/>
        <w:spacing w:line="240" w:lineRule="auto"/>
        <w:ind w:left="0"/>
        <w:rPr>
          <w:rFonts w:ascii="Times New Roman" w:hAnsi="Times New Roman" w:cs="Times New Roman"/>
          <w:b/>
          <w:sz w:val="24"/>
          <w:szCs w:val="24"/>
        </w:rPr>
      </w:pPr>
    </w:p>
    <w:p w14:paraId="636C9878" w14:textId="77777777" w:rsidR="003063B2" w:rsidRDefault="003063B2" w:rsidP="00307E7B">
      <w:pPr>
        <w:spacing w:line="480" w:lineRule="auto"/>
        <w:ind w:firstLine="720"/>
        <w:rPr>
          <w:rFonts w:cs="Times New Roman"/>
          <w:szCs w:val="24"/>
        </w:rPr>
      </w:pPr>
      <w:r>
        <w:rPr>
          <w:rFonts w:cs="Times New Roman"/>
          <w:szCs w:val="24"/>
        </w:rPr>
        <w:t xml:space="preserve">The interpretation of a statute begins by examining the </w:t>
      </w:r>
      <w:r w:rsidRPr="0061074D">
        <w:rPr>
          <w:rFonts w:cs="Times New Roman"/>
          <w:szCs w:val="24"/>
        </w:rPr>
        <w:t>language of the statute itself</w:t>
      </w:r>
      <w:r>
        <w:rPr>
          <w:rFonts w:cs="Times New Roman"/>
          <w:szCs w:val="24"/>
        </w:rPr>
        <w:t>; unless the legislature has “clearly expressed” otherwise, normally the language is determinate.</w:t>
      </w:r>
      <w:r w:rsidRPr="0061074D">
        <w:rPr>
          <w:rFonts w:cs="Times New Roman"/>
          <w:szCs w:val="24"/>
        </w:rPr>
        <w:t xml:space="preserve"> </w:t>
      </w:r>
      <w:r w:rsidRPr="00BC42FD">
        <w:rPr>
          <w:rFonts w:cs="Times New Roman"/>
          <w:i/>
          <w:szCs w:val="24"/>
        </w:rPr>
        <w:t>Consumer Prod. Safety Comm'n v. GTE Sylvania, Inc.</w:t>
      </w:r>
      <w:r w:rsidRPr="00BC42FD">
        <w:rPr>
          <w:rFonts w:cs="Times New Roman"/>
          <w:szCs w:val="24"/>
        </w:rPr>
        <w:t>, 447 U.S. 102, 108 (1980)</w:t>
      </w:r>
      <w:r w:rsidR="00307E7B">
        <w:rPr>
          <w:rFonts w:cs="Times New Roman"/>
          <w:szCs w:val="24"/>
        </w:rPr>
        <w:t xml:space="preserve">.  </w:t>
      </w:r>
      <w:r w:rsidR="00BA0535">
        <w:rPr>
          <w:rFonts w:cs="Times New Roman"/>
          <w:szCs w:val="24"/>
        </w:rPr>
        <w:t xml:space="preserve">Where a term is defined by </w:t>
      </w:r>
      <w:r w:rsidR="004A35B4">
        <w:rPr>
          <w:rFonts w:cs="Times New Roman"/>
          <w:szCs w:val="24"/>
        </w:rPr>
        <w:t>s</w:t>
      </w:r>
      <w:r w:rsidR="00BA0535">
        <w:rPr>
          <w:rFonts w:cs="Times New Roman"/>
          <w:szCs w:val="24"/>
        </w:rPr>
        <w:t>tatute, the definition is accepted, provided it is clearly unambiguous and applicable to the issue at hand</w:t>
      </w:r>
      <w:r w:rsidR="004A35B4">
        <w:rPr>
          <w:rFonts w:cs="Times New Roman"/>
          <w:szCs w:val="24"/>
        </w:rPr>
        <w:t xml:space="preserve">. </w:t>
      </w:r>
      <w:r w:rsidR="004A35B4">
        <w:rPr>
          <w:rFonts w:cs="Times New Roman"/>
          <w:i/>
          <w:szCs w:val="24"/>
        </w:rPr>
        <w:t xml:space="preserve">See Rice v. </w:t>
      </w:r>
      <w:r w:rsidR="004A35B4" w:rsidRPr="00BA0535">
        <w:rPr>
          <w:rFonts w:cs="Times New Roman"/>
          <w:szCs w:val="24"/>
        </w:rPr>
        <w:t>Cayetano</w:t>
      </w:r>
      <w:r w:rsidR="004A35B4">
        <w:rPr>
          <w:rFonts w:cs="Times New Roman"/>
          <w:szCs w:val="24"/>
        </w:rPr>
        <w:t xml:space="preserve">, 528 U.S. 495, 509-10, 524 (2000) </w:t>
      </w:r>
      <w:r w:rsidR="00686B95">
        <w:rPr>
          <w:rFonts w:cs="Times New Roman"/>
          <w:szCs w:val="24"/>
        </w:rPr>
        <w:t>(</w:t>
      </w:r>
      <w:r w:rsidR="004A35B4">
        <w:rPr>
          <w:rFonts w:cs="Times New Roman"/>
          <w:szCs w:val="24"/>
        </w:rPr>
        <w:t xml:space="preserve">holding that </w:t>
      </w:r>
      <w:r w:rsidR="00686B95">
        <w:rPr>
          <w:rFonts w:cs="Times New Roman"/>
          <w:szCs w:val="24"/>
        </w:rPr>
        <w:t>the statutory definition of “Hawaiian” invalidates</w:t>
      </w:r>
      <w:r w:rsidR="004A35B4">
        <w:rPr>
          <w:rFonts w:cs="Times New Roman"/>
          <w:szCs w:val="24"/>
        </w:rPr>
        <w:t xml:space="preserve"> the</w:t>
      </w:r>
      <w:r w:rsidR="00686B95">
        <w:rPr>
          <w:rFonts w:cs="Times New Roman"/>
          <w:szCs w:val="24"/>
        </w:rPr>
        <w:t xml:space="preserve"> law as a violation of the Fifteenth Amendment). </w:t>
      </w:r>
      <w:r w:rsidR="00BA0535">
        <w:rPr>
          <w:rFonts w:cs="Times New Roman"/>
          <w:szCs w:val="24"/>
        </w:rPr>
        <w:t xml:space="preserve"> </w:t>
      </w:r>
      <w:r w:rsidRPr="00BA0535">
        <w:rPr>
          <w:rFonts w:cs="Times New Roman"/>
          <w:szCs w:val="24"/>
        </w:rPr>
        <w:t>It</w:t>
      </w:r>
      <w:r>
        <w:rPr>
          <w:rFonts w:cs="Times New Roman"/>
          <w:szCs w:val="24"/>
        </w:rPr>
        <w:t xml:space="preserve"> is not necessary to attempt to further divine Congressional intent once the statutory terms have been deemed unambiguous</w:t>
      </w:r>
      <w:r w:rsidRPr="00F8615D">
        <w:rPr>
          <w:rFonts w:cs="Times New Roman"/>
          <w:szCs w:val="24"/>
        </w:rPr>
        <w:t>,</w:t>
      </w:r>
      <w:r>
        <w:rPr>
          <w:rFonts w:cs="Times New Roman"/>
          <w:szCs w:val="24"/>
        </w:rPr>
        <w:t xml:space="preserve"> with the possible</w:t>
      </w:r>
      <w:r w:rsidRPr="00F8615D">
        <w:rPr>
          <w:rFonts w:cs="Times New Roman"/>
          <w:szCs w:val="24"/>
        </w:rPr>
        <w:t xml:space="preserve"> except</w:t>
      </w:r>
      <w:r>
        <w:rPr>
          <w:rFonts w:cs="Times New Roman"/>
          <w:szCs w:val="24"/>
        </w:rPr>
        <w:t xml:space="preserve">ion of </w:t>
      </w:r>
      <w:r w:rsidRPr="00F8615D">
        <w:rPr>
          <w:rFonts w:cs="Times New Roman"/>
          <w:szCs w:val="24"/>
        </w:rPr>
        <w:t xml:space="preserve"> "'rare and exceptional circumstances,'" </w:t>
      </w:r>
      <w:r w:rsidR="004A35B4">
        <w:rPr>
          <w:rFonts w:cs="Times New Roman"/>
          <w:i/>
          <w:szCs w:val="24"/>
        </w:rPr>
        <w:t xml:space="preserve">See </w:t>
      </w:r>
      <w:r w:rsidRPr="00A04ACC">
        <w:rPr>
          <w:rFonts w:cs="Times New Roman"/>
          <w:i/>
          <w:szCs w:val="24"/>
        </w:rPr>
        <w:t>Garcia v. United States</w:t>
      </w:r>
      <w:r>
        <w:rPr>
          <w:rFonts w:cs="Times New Roman"/>
          <w:szCs w:val="24"/>
        </w:rPr>
        <w:t xml:space="preserve">, 469 U.S. 70, 75 </w:t>
      </w:r>
      <w:r w:rsidR="004A35B4">
        <w:rPr>
          <w:rFonts w:cs="Times New Roman"/>
          <w:szCs w:val="24"/>
        </w:rPr>
        <w:t>(1984) (</w:t>
      </w:r>
      <w:r w:rsidR="004A35B4">
        <w:rPr>
          <w:rFonts w:cs="Times New Roman"/>
          <w:i/>
          <w:szCs w:val="24"/>
        </w:rPr>
        <w:t>citing</w:t>
      </w:r>
      <w:r>
        <w:rPr>
          <w:rFonts w:cs="Times New Roman"/>
          <w:szCs w:val="24"/>
        </w:rPr>
        <w:t xml:space="preserve"> </w:t>
      </w:r>
      <w:r w:rsidRPr="00F8615D">
        <w:rPr>
          <w:rFonts w:cs="Times New Roman"/>
          <w:i/>
          <w:szCs w:val="24"/>
        </w:rPr>
        <w:t>TVA v. Hill</w:t>
      </w:r>
      <w:r w:rsidRPr="00F8615D">
        <w:rPr>
          <w:rFonts w:cs="Times New Roman"/>
          <w:szCs w:val="24"/>
        </w:rPr>
        <w:t>, 437 U.S. 153, 187, n. 33 (1978)</w:t>
      </w:r>
      <w:r w:rsidR="004A35B4">
        <w:rPr>
          <w:rFonts w:cs="Times New Roman"/>
          <w:szCs w:val="24"/>
        </w:rPr>
        <w:t>).</w:t>
      </w:r>
      <w:r w:rsidR="00307E7B">
        <w:rPr>
          <w:rFonts w:cs="Times New Roman"/>
          <w:szCs w:val="24"/>
        </w:rPr>
        <w:t xml:space="preserve">  </w:t>
      </w:r>
      <w:r w:rsidR="0039583B">
        <w:rPr>
          <w:rFonts w:cs="Times New Roman"/>
          <w:szCs w:val="24"/>
        </w:rPr>
        <w:t xml:space="preserve">An analysis of the clear and unambiguous plain language </w:t>
      </w:r>
      <w:r w:rsidR="00B62BE0">
        <w:rPr>
          <w:rFonts w:cs="Times New Roman"/>
          <w:szCs w:val="24"/>
        </w:rPr>
        <w:lastRenderedPageBreak/>
        <w:t>meaning of the terms of §101</w:t>
      </w:r>
      <w:r w:rsidR="00E23DD2">
        <w:rPr>
          <w:rFonts w:cs="Times New Roman"/>
          <w:szCs w:val="24"/>
        </w:rPr>
        <w:t xml:space="preserve"> demonstrates that “Anticipatory Repudiation” was not created under </w:t>
      </w:r>
      <w:r w:rsidR="0039583B">
        <w:rPr>
          <w:rFonts w:cs="Times New Roman"/>
          <w:szCs w:val="24"/>
        </w:rPr>
        <w:t xml:space="preserve">circumstances </w:t>
      </w:r>
      <w:r w:rsidR="00E23DD2">
        <w:rPr>
          <w:rFonts w:cs="Times New Roman"/>
          <w:szCs w:val="24"/>
        </w:rPr>
        <w:t>tha</w:t>
      </w:r>
      <w:r w:rsidR="0039583B">
        <w:rPr>
          <w:rFonts w:cs="Times New Roman"/>
          <w:szCs w:val="24"/>
        </w:rPr>
        <w:t>t constitute the creation of a work-made-for-hire</w:t>
      </w:r>
      <w:r>
        <w:rPr>
          <w:rFonts w:cs="Times New Roman"/>
          <w:szCs w:val="24"/>
        </w:rPr>
        <w:t>.</w:t>
      </w:r>
    </w:p>
    <w:p w14:paraId="5822239C" w14:textId="77777777" w:rsidR="00E85F30" w:rsidRPr="00E85F30" w:rsidRDefault="00E85F30" w:rsidP="0039583B">
      <w:pPr>
        <w:pStyle w:val="ListParagraph"/>
        <w:numPr>
          <w:ilvl w:val="1"/>
          <w:numId w:val="2"/>
        </w:numPr>
        <w:spacing w:line="240" w:lineRule="auto"/>
        <w:rPr>
          <w:rFonts w:ascii="Times New Roman" w:hAnsi="Times New Roman" w:cs="Times New Roman"/>
          <w:sz w:val="24"/>
          <w:szCs w:val="24"/>
        </w:rPr>
      </w:pPr>
      <w:r>
        <w:rPr>
          <w:rFonts w:ascii="Times New Roman" w:hAnsi="Times New Roman" w:cs="Times New Roman"/>
          <w:b/>
          <w:sz w:val="24"/>
          <w:szCs w:val="24"/>
        </w:rPr>
        <w:t xml:space="preserve">The plain meaning of the definition of a work-made-for-hire, </w:t>
      </w:r>
      <w:r w:rsidRPr="00E85F30">
        <w:rPr>
          <w:rFonts w:ascii="Times New Roman" w:hAnsi="Times New Roman" w:cs="Times New Roman"/>
          <w:b/>
          <w:i/>
          <w:sz w:val="24"/>
          <w:szCs w:val="24"/>
        </w:rPr>
        <w:t>in toto</w:t>
      </w:r>
      <w:r w:rsidR="00E23DD2">
        <w:rPr>
          <w:rFonts w:ascii="Times New Roman" w:hAnsi="Times New Roman" w:cs="Times New Roman"/>
          <w:b/>
          <w:sz w:val="24"/>
          <w:szCs w:val="24"/>
        </w:rPr>
        <w:t>, in §101</w:t>
      </w:r>
      <w:r>
        <w:rPr>
          <w:rFonts w:ascii="Times New Roman" w:hAnsi="Times New Roman" w:cs="Times New Roman"/>
          <w:b/>
          <w:sz w:val="24"/>
          <w:szCs w:val="24"/>
        </w:rPr>
        <w:t xml:space="preserve"> does not support the contention that “Anticipatory Repudiation” can be </w:t>
      </w:r>
      <w:r w:rsidR="00E23DD2">
        <w:rPr>
          <w:rFonts w:ascii="Times New Roman" w:hAnsi="Times New Roman" w:cs="Times New Roman"/>
          <w:b/>
          <w:sz w:val="24"/>
          <w:szCs w:val="24"/>
        </w:rPr>
        <w:t>considered a work-made-for-hire</w:t>
      </w:r>
      <w:r w:rsidR="0068238E">
        <w:rPr>
          <w:rFonts w:ascii="Times New Roman" w:hAnsi="Times New Roman" w:cs="Times New Roman"/>
          <w:b/>
          <w:sz w:val="24"/>
          <w:szCs w:val="24"/>
        </w:rPr>
        <w:t>.</w:t>
      </w:r>
    </w:p>
    <w:p w14:paraId="30BD06B8" w14:textId="77777777" w:rsidR="00E85F30" w:rsidRPr="00E85F30" w:rsidRDefault="00E85F30" w:rsidP="00E85F30">
      <w:pPr>
        <w:pStyle w:val="ListParagraph"/>
        <w:spacing w:line="240" w:lineRule="auto"/>
        <w:ind w:left="1800"/>
        <w:rPr>
          <w:rFonts w:ascii="Times New Roman" w:hAnsi="Times New Roman" w:cs="Times New Roman"/>
          <w:sz w:val="24"/>
          <w:szCs w:val="24"/>
        </w:rPr>
      </w:pPr>
    </w:p>
    <w:p w14:paraId="5EB77BA9" w14:textId="77777777" w:rsidR="00E23DD2" w:rsidRDefault="00E23DD2" w:rsidP="00E23DD2">
      <w:pPr>
        <w:spacing w:line="480" w:lineRule="auto"/>
        <w:ind w:firstLine="720"/>
        <w:rPr>
          <w:rFonts w:cs="Times New Roman"/>
          <w:szCs w:val="24"/>
        </w:rPr>
      </w:pPr>
      <w:r w:rsidRPr="00E23DD2">
        <w:rPr>
          <w:rFonts w:cs="Times New Roman"/>
          <w:szCs w:val="24"/>
        </w:rPr>
        <w:t xml:space="preserve">Section </w:t>
      </w:r>
      <w:r w:rsidR="00E85F30" w:rsidRPr="00E23DD2">
        <w:rPr>
          <w:rFonts w:cs="Times New Roman"/>
          <w:szCs w:val="24"/>
        </w:rPr>
        <w:t>101(2)</w:t>
      </w:r>
      <w:r w:rsidR="00FB61CA" w:rsidRPr="00E23DD2">
        <w:rPr>
          <w:rFonts w:cs="Times New Roman"/>
          <w:szCs w:val="24"/>
        </w:rPr>
        <w:t xml:space="preserve"> detail</w:t>
      </w:r>
      <w:r w:rsidR="00E85F30" w:rsidRPr="00E23DD2">
        <w:rPr>
          <w:rFonts w:cs="Times New Roman"/>
          <w:szCs w:val="24"/>
        </w:rPr>
        <w:t xml:space="preserve">s several elements that must be satisfied to be applicable to the product created.  </w:t>
      </w:r>
      <w:r>
        <w:rPr>
          <w:rFonts w:cs="Times New Roman"/>
          <w:szCs w:val="24"/>
        </w:rPr>
        <w:t>It must be:</w:t>
      </w:r>
    </w:p>
    <w:p w14:paraId="400FF2CA" w14:textId="77777777" w:rsidR="00E85F30" w:rsidRDefault="00E23DD2" w:rsidP="00E23DD2">
      <w:pPr>
        <w:pStyle w:val="ListParagraph"/>
        <w:spacing w:line="240" w:lineRule="auto"/>
        <w:ind w:left="1080"/>
        <w:rPr>
          <w:rFonts w:ascii="Times New Roman" w:hAnsi="Times New Roman" w:cs="Times New Roman"/>
          <w:sz w:val="24"/>
          <w:szCs w:val="24"/>
        </w:rPr>
      </w:pPr>
      <w:r>
        <w:rPr>
          <w:rFonts w:ascii="Times New Roman" w:hAnsi="Times New Roman" w:cs="Times New Roman"/>
          <w:sz w:val="24"/>
          <w:szCs w:val="24"/>
        </w:rPr>
        <w:t xml:space="preserve"> </w:t>
      </w:r>
      <w:r w:rsidR="00E85F30" w:rsidRPr="00E23DD2">
        <w:rPr>
          <w:rFonts w:ascii="Times New Roman" w:hAnsi="Times New Roman" w:cs="Times New Roman"/>
          <w:sz w:val="24"/>
          <w:szCs w:val="24"/>
        </w:rPr>
        <w:t>a work [</w:t>
      </w:r>
      <w:r>
        <w:rPr>
          <w:rFonts w:ascii="Times New Roman" w:hAnsi="Times New Roman" w:cs="Times New Roman"/>
          <w:sz w:val="24"/>
          <w:szCs w:val="24"/>
        </w:rPr>
        <w:t>that is</w:t>
      </w:r>
      <w:r w:rsidR="00E85F30" w:rsidRPr="00E23DD2">
        <w:rPr>
          <w:rFonts w:ascii="Times New Roman" w:hAnsi="Times New Roman" w:cs="Times New Roman"/>
          <w:sz w:val="24"/>
          <w:szCs w:val="24"/>
        </w:rPr>
        <w:t xml:space="preserve">] specially ordered </w:t>
      </w:r>
      <w:r>
        <w:rPr>
          <w:rFonts w:ascii="Times New Roman" w:hAnsi="Times New Roman" w:cs="Times New Roman"/>
          <w:sz w:val="24"/>
          <w:szCs w:val="24"/>
        </w:rPr>
        <w:t>[or] commissioned [and is</w:t>
      </w:r>
      <w:r w:rsidR="00E85F30" w:rsidRPr="00E23DD2">
        <w:rPr>
          <w:rFonts w:ascii="Times New Roman" w:hAnsi="Times New Roman" w:cs="Times New Roman"/>
          <w:sz w:val="24"/>
          <w:szCs w:val="24"/>
        </w:rPr>
        <w:t xml:space="preserve">] for use as </w:t>
      </w:r>
      <w:r>
        <w:rPr>
          <w:rFonts w:ascii="Times New Roman" w:hAnsi="Times New Roman" w:cs="Times New Roman"/>
          <w:sz w:val="24"/>
          <w:szCs w:val="24"/>
        </w:rPr>
        <w:t>[only]</w:t>
      </w:r>
      <w:r w:rsidR="00E85F30" w:rsidRPr="00E23DD2">
        <w:rPr>
          <w:rFonts w:ascii="Times New Roman" w:hAnsi="Times New Roman" w:cs="Times New Roman"/>
          <w:sz w:val="24"/>
          <w:szCs w:val="24"/>
        </w:rPr>
        <w:t xml:space="preserve"> a contribution to a collective work, </w:t>
      </w:r>
      <w:r>
        <w:rPr>
          <w:rFonts w:ascii="Times New Roman" w:hAnsi="Times New Roman" w:cs="Times New Roman"/>
          <w:sz w:val="24"/>
          <w:szCs w:val="24"/>
        </w:rPr>
        <w:t>[or]</w:t>
      </w:r>
      <w:r w:rsidR="00E85F30" w:rsidRPr="00E23DD2">
        <w:rPr>
          <w:rFonts w:ascii="Times New Roman" w:hAnsi="Times New Roman" w:cs="Times New Roman"/>
          <w:sz w:val="24"/>
          <w:szCs w:val="24"/>
        </w:rPr>
        <w:t xml:space="preserve"> as a part of a motion picture or other audiovisual work, </w:t>
      </w:r>
      <w:r>
        <w:rPr>
          <w:rFonts w:ascii="Times New Roman" w:hAnsi="Times New Roman" w:cs="Times New Roman"/>
          <w:sz w:val="24"/>
          <w:szCs w:val="24"/>
        </w:rPr>
        <w:t>[or]</w:t>
      </w:r>
      <w:r w:rsidR="00E85F30" w:rsidRPr="00E23DD2">
        <w:rPr>
          <w:rFonts w:ascii="Times New Roman" w:hAnsi="Times New Roman" w:cs="Times New Roman"/>
          <w:sz w:val="24"/>
          <w:szCs w:val="24"/>
        </w:rPr>
        <w:t xml:space="preserve"> as a translation, </w:t>
      </w:r>
      <w:r>
        <w:rPr>
          <w:rFonts w:ascii="Times New Roman" w:hAnsi="Times New Roman" w:cs="Times New Roman"/>
          <w:sz w:val="24"/>
          <w:szCs w:val="24"/>
        </w:rPr>
        <w:t>[or]</w:t>
      </w:r>
      <w:r w:rsidR="00E85F30" w:rsidRPr="00E23DD2">
        <w:rPr>
          <w:rFonts w:ascii="Times New Roman" w:hAnsi="Times New Roman" w:cs="Times New Roman"/>
          <w:sz w:val="24"/>
          <w:szCs w:val="24"/>
        </w:rPr>
        <w:t xml:space="preserve"> as a supplementary work, </w:t>
      </w:r>
      <w:r>
        <w:rPr>
          <w:rFonts w:ascii="Times New Roman" w:hAnsi="Times New Roman" w:cs="Times New Roman"/>
          <w:sz w:val="24"/>
          <w:szCs w:val="24"/>
        </w:rPr>
        <w:t>[or]</w:t>
      </w:r>
      <w:r w:rsidR="00E85F30" w:rsidRPr="00E23DD2">
        <w:rPr>
          <w:rFonts w:ascii="Times New Roman" w:hAnsi="Times New Roman" w:cs="Times New Roman"/>
          <w:sz w:val="24"/>
          <w:szCs w:val="24"/>
        </w:rPr>
        <w:t xml:space="preserve"> as a compilation, </w:t>
      </w:r>
      <w:r>
        <w:rPr>
          <w:rFonts w:ascii="Times New Roman" w:hAnsi="Times New Roman" w:cs="Times New Roman"/>
          <w:sz w:val="24"/>
          <w:szCs w:val="24"/>
        </w:rPr>
        <w:t>[or]</w:t>
      </w:r>
      <w:r w:rsidR="00E85F30" w:rsidRPr="00E23DD2">
        <w:rPr>
          <w:rFonts w:ascii="Times New Roman" w:hAnsi="Times New Roman" w:cs="Times New Roman"/>
          <w:sz w:val="24"/>
          <w:szCs w:val="24"/>
        </w:rPr>
        <w:t xml:space="preserve"> as an instructional text, </w:t>
      </w:r>
      <w:r>
        <w:rPr>
          <w:rFonts w:ascii="Times New Roman" w:hAnsi="Times New Roman" w:cs="Times New Roman"/>
          <w:sz w:val="24"/>
          <w:szCs w:val="24"/>
        </w:rPr>
        <w:t>[or]</w:t>
      </w:r>
      <w:r w:rsidR="00E85F30" w:rsidRPr="00E23DD2">
        <w:rPr>
          <w:rFonts w:ascii="Times New Roman" w:hAnsi="Times New Roman" w:cs="Times New Roman"/>
          <w:sz w:val="24"/>
          <w:szCs w:val="24"/>
        </w:rPr>
        <w:t xml:space="preserve"> as a test, </w:t>
      </w:r>
      <w:r>
        <w:rPr>
          <w:rFonts w:ascii="Times New Roman" w:hAnsi="Times New Roman" w:cs="Times New Roman"/>
          <w:sz w:val="24"/>
          <w:szCs w:val="24"/>
        </w:rPr>
        <w:t>[or]</w:t>
      </w:r>
      <w:r w:rsidR="00E85F30" w:rsidRPr="00E23DD2">
        <w:rPr>
          <w:rFonts w:ascii="Times New Roman" w:hAnsi="Times New Roman" w:cs="Times New Roman"/>
          <w:sz w:val="24"/>
          <w:szCs w:val="24"/>
        </w:rPr>
        <w:t xml:space="preserve"> as answer material for a test, </w:t>
      </w:r>
      <w:r>
        <w:rPr>
          <w:rFonts w:ascii="Times New Roman" w:hAnsi="Times New Roman" w:cs="Times New Roman"/>
          <w:sz w:val="24"/>
          <w:szCs w:val="24"/>
        </w:rPr>
        <w:t>[or]</w:t>
      </w:r>
      <w:r w:rsidR="00E85F30" w:rsidRPr="00E23DD2">
        <w:rPr>
          <w:rFonts w:ascii="Times New Roman" w:hAnsi="Times New Roman" w:cs="Times New Roman"/>
          <w:sz w:val="24"/>
          <w:szCs w:val="24"/>
        </w:rPr>
        <w:t xml:space="preserve"> as an atlas,</w:t>
      </w:r>
      <w:r>
        <w:rPr>
          <w:rFonts w:ascii="Times New Roman" w:hAnsi="Times New Roman" w:cs="Times New Roman"/>
          <w:sz w:val="24"/>
          <w:szCs w:val="24"/>
        </w:rPr>
        <w:t xml:space="preserve"> [and is</w:t>
      </w:r>
      <w:r w:rsidR="00E85F30" w:rsidRPr="00E23DD2">
        <w:rPr>
          <w:rFonts w:ascii="Times New Roman" w:hAnsi="Times New Roman" w:cs="Times New Roman"/>
          <w:sz w:val="24"/>
          <w:szCs w:val="24"/>
        </w:rPr>
        <w:t xml:space="preserve">] if the parties expressly agree in a written instrument </w:t>
      </w:r>
      <w:r w:rsidR="00FB61CA" w:rsidRPr="00E23DD2">
        <w:rPr>
          <w:rFonts w:ascii="Times New Roman" w:hAnsi="Times New Roman" w:cs="Times New Roman"/>
          <w:sz w:val="24"/>
          <w:szCs w:val="24"/>
        </w:rPr>
        <w:t>[</w:t>
      </w:r>
      <w:r>
        <w:rPr>
          <w:rFonts w:ascii="Times New Roman" w:hAnsi="Times New Roman" w:cs="Times New Roman"/>
          <w:sz w:val="24"/>
          <w:szCs w:val="24"/>
        </w:rPr>
        <w:t>that is</w:t>
      </w:r>
      <w:r w:rsidR="00FB61CA" w:rsidRPr="00E23DD2">
        <w:rPr>
          <w:rFonts w:ascii="Times New Roman" w:hAnsi="Times New Roman" w:cs="Times New Roman"/>
          <w:sz w:val="24"/>
          <w:szCs w:val="24"/>
        </w:rPr>
        <w:t xml:space="preserve">] </w:t>
      </w:r>
      <w:r w:rsidR="00E85F30" w:rsidRPr="00E23DD2">
        <w:rPr>
          <w:rFonts w:ascii="Times New Roman" w:hAnsi="Times New Roman" w:cs="Times New Roman"/>
          <w:sz w:val="24"/>
          <w:szCs w:val="24"/>
        </w:rPr>
        <w:t>signed by them that the work shall be considered a work made for hire</w:t>
      </w:r>
      <w:r>
        <w:rPr>
          <w:rFonts w:ascii="Times New Roman" w:hAnsi="Times New Roman" w:cs="Times New Roman"/>
          <w:sz w:val="24"/>
          <w:szCs w:val="24"/>
        </w:rPr>
        <w:t xml:space="preserve">. </w:t>
      </w:r>
      <w:r w:rsidRPr="00C2132E">
        <w:rPr>
          <w:rFonts w:ascii="Times New Roman" w:hAnsi="Times New Roman" w:cs="Times New Roman"/>
          <w:i/>
          <w:sz w:val="24"/>
          <w:szCs w:val="24"/>
        </w:rPr>
        <w:t>17 USCS § 101</w:t>
      </w:r>
    </w:p>
    <w:p w14:paraId="3EE1F48B" w14:textId="77777777" w:rsidR="00E23DD2" w:rsidRPr="00E23DD2" w:rsidRDefault="00E23DD2" w:rsidP="00E23DD2">
      <w:pPr>
        <w:pStyle w:val="ListParagraph"/>
        <w:spacing w:line="240" w:lineRule="auto"/>
        <w:ind w:left="1080"/>
        <w:rPr>
          <w:rFonts w:ascii="Times New Roman" w:hAnsi="Times New Roman" w:cs="Times New Roman"/>
          <w:sz w:val="24"/>
          <w:szCs w:val="24"/>
        </w:rPr>
      </w:pPr>
    </w:p>
    <w:p w14:paraId="7D6F4512" w14:textId="77777777" w:rsidR="00C2132E" w:rsidRDefault="0068238E" w:rsidP="00E85F30">
      <w:pPr>
        <w:spacing w:line="480" w:lineRule="auto"/>
        <w:ind w:firstLine="720"/>
        <w:rPr>
          <w:rFonts w:cs="Times New Roman"/>
          <w:szCs w:val="24"/>
        </w:rPr>
      </w:pPr>
      <w:r>
        <w:rPr>
          <w:rFonts w:cs="Times New Roman"/>
          <w:szCs w:val="24"/>
        </w:rPr>
        <w:t xml:space="preserve">Statutory Interpretation </w:t>
      </w:r>
      <w:r w:rsidR="009520F7">
        <w:rPr>
          <w:rFonts w:cs="Times New Roman"/>
          <w:szCs w:val="24"/>
        </w:rPr>
        <w:t xml:space="preserve">demands that the statute be interpreted as a whole. </w:t>
      </w:r>
      <w:r w:rsidR="007E5715">
        <w:rPr>
          <w:rFonts w:cs="Times New Roman"/>
          <w:i/>
          <w:szCs w:val="24"/>
        </w:rPr>
        <w:t xml:space="preserve">See </w:t>
      </w:r>
      <w:r w:rsidR="007E5715" w:rsidRPr="007E5715">
        <w:rPr>
          <w:rFonts w:cs="Times New Roman"/>
          <w:i/>
          <w:szCs w:val="24"/>
        </w:rPr>
        <w:t>Massachusetts v. Morash</w:t>
      </w:r>
      <w:r w:rsidR="007E5715" w:rsidRPr="007E5715">
        <w:rPr>
          <w:rFonts w:cs="Times New Roman"/>
          <w:szCs w:val="24"/>
        </w:rPr>
        <w:t>,</w:t>
      </w:r>
      <w:r w:rsidR="007E5715" w:rsidRPr="007E5715">
        <w:rPr>
          <w:rFonts w:cs="Times New Roman"/>
          <w:i/>
          <w:szCs w:val="24"/>
        </w:rPr>
        <w:t xml:space="preserve"> </w:t>
      </w:r>
      <w:r w:rsidR="007E5715" w:rsidRPr="007E5715">
        <w:rPr>
          <w:rFonts w:cs="Times New Roman"/>
          <w:szCs w:val="24"/>
        </w:rPr>
        <w:t>490 U.S. 107,</w:t>
      </w:r>
      <w:r w:rsidR="007E5715">
        <w:rPr>
          <w:rFonts w:cs="Times New Roman"/>
          <w:szCs w:val="24"/>
        </w:rPr>
        <w:t xml:space="preserve">115 (1989). </w:t>
      </w:r>
      <w:r w:rsidR="009520F7" w:rsidRPr="007E5715">
        <w:rPr>
          <w:rFonts w:cs="Times New Roman"/>
          <w:szCs w:val="24"/>
        </w:rPr>
        <w:t xml:space="preserve"> </w:t>
      </w:r>
      <w:r w:rsidR="009520F7">
        <w:rPr>
          <w:rFonts w:cs="Times New Roman"/>
          <w:szCs w:val="24"/>
        </w:rPr>
        <w:t xml:space="preserve">A corollary of this maxim is that composite elements of the statute </w:t>
      </w:r>
      <w:r w:rsidR="00421F9A">
        <w:rPr>
          <w:rFonts w:cs="Times New Roman"/>
          <w:szCs w:val="24"/>
        </w:rPr>
        <w:t xml:space="preserve">should </w:t>
      </w:r>
      <w:r w:rsidR="009520F7">
        <w:rPr>
          <w:rFonts w:cs="Times New Roman"/>
          <w:szCs w:val="24"/>
        </w:rPr>
        <w:t xml:space="preserve">be treated accordingly. </w:t>
      </w:r>
      <w:r w:rsidR="007E5715">
        <w:rPr>
          <w:rFonts w:cs="Times New Roman"/>
          <w:i/>
          <w:szCs w:val="24"/>
        </w:rPr>
        <w:t xml:space="preserve">Id. </w:t>
      </w:r>
      <w:r w:rsidR="007E5715">
        <w:rPr>
          <w:rFonts w:cs="Times New Roman"/>
          <w:szCs w:val="24"/>
        </w:rPr>
        <w:t>(</w:t>
      </w:r>
      <w:r w:rsidR="007E5715">
        <w:rPr>
          <w:rFonts w:cs="Times New Roman"/>
          <w:i/>
          <w:szCs w:val="24"/>
        </w:rPr>
        <w:t>citing Pilot Life Ins. Co. v. Dedeaux</w:t>
      </w:r>
      <w:r w:rsidR="007E5715">
        <w:rPr>
          <w:rFonts w:cs="Times New Roman"/>
          <w:szCs w:val="24"/>
        </w:rPr>
        <w:t xml:space="preserve">, 481 U.S. 41, 51 (1987)). </w:t>
      </w:r>
      <w:r w:rsidR="009520F7">
        <w:rPr>
          <w:rFonts w:cs="Times New Roman"/>
          <w:szCs w:val="24"/>
        </w:rPr>
        <w:t xml:space="preserve"> </w:t>
      </w:r>
      <w:r w:rsidR="00C2132E">
        <w:rPr>
          <w:rFonts w:cs="Times New Roman"/>
          <w:szCs w:val="24"/>
        </w:rPr>
        <w:t xml:space="preserve">Section 101 has nine specific categories of work product that can be considered to be a work made for hire, and these are the only categories that can be so designated. </w:t>
      </w:r>
      <w:r w:rsidR="00C2132E" w:rsidRPr="00C2132E">
        <w:rPr>
          <w:rFonts w:cs="Times New Roman"/>
          <w:i/>
          <w:szCs w:val="24"/>
        </w:rPr>
        <w:t>17 USCS § 101</w:t>
      </w:r>
      <w:r w:rsidR="00C2132E">
        <w:rPr>
          <w:rFonts w:cs="Times New Roman"/>
          <w:szCs w:val="24"/>
        </w:rPr>
        <w:t>.</w:t>
      </w:r>
      <w:r w:rsidR="00C2132E">
        <w:rPr>
          <w:rFonts w:cs="Times New Roman"/>
          <w:i/>
          <w:szCs w:val="24"/>
        </w:rPr>
        <w:t xml:space="preserve">  </w:t>
      </w:r>
      <w:r w:rsidR="00C2132E">
        <w:rPr>
          <w:rFonts w:cs="Times New Roman"/>
          <w:szCs w:val="24"/>
        </w:rPr>
        <w:t>However</w:t>
      </w:r>
      <w:r w:rsidR="007E5715">
        <w:rPr>
          <w:rFonts w:cs="Times New Roman"/>
          <w:szCs w:val="24"/>
        </w:rPr>
        <w:t>,</w:t>
      </w:r>
      <w:r w:rsidR="009520F7">
        <w:rPr>
          <w:rFonts w:cs="Times New Roman"/>
          <w:szCs w:val="24"/>
        </w:rPr>
        <w:t xml:space="preserve"> in addition to satisfying the </w:t>
      </w:r>
      <w:r w:rsidR="007E5715">
        <w:rPr>
          <w:rFonts w:cs="Times New Roman"/>
          <w:szCs w:val="24"/>
        </w:rPr>
        <w:t xml:space="preserve">statute’s </w:t>
      </w:r>
      <w:r w:rsidR="009520F7">
        <w:rPr>
          <w:rFonts w:cs="Times New Roman"/>
          <w:szCs w:val="24"/>
        </w:rPr>
        <w:t xml:space="preserve">categorical restrictions, </w:t>
      </w:r>
      <w:r w:rsidR="00C2132E">
        <w:rPr>
          <w:rFonts w:cs="Times New Roman"/>
          <w:szCs w:val="24"/>
        </w:rPr>
        <w:t xml:space="preserve">§ 101 requires that </w:t>
      </w:r>
      <w:r w:rsidR="009520F7">
        <w:rPr>
          <w:rFonts w:cs="Times New Roman"/>
          <w:szCs w:val="24"/>
        </w:rPr>
        <w:t xml:space="preserve">the work’s creator and the person(s) for whom the work is to be </w:t>
      </w:r>
      <w:r w:rsidR="00C2132E">
        <w:rPr>
          <w:rFonts w:cs="Times New Roman"/>
          <w:szCs w:val="24"/>
        </w:rPr>
        <w:t>created sign</w:t>
      </w:r>
      <w:r w:rsidR="009520F7">
        <w:rPr>
          <w:rFonts w:cs="Times New Roman"/>
          <w:szCs w:val="24"/>
        </w:rPr>
        <w:t xml:space="preserve"> a document</w:t>
      </w:r>
      <w:r w:rsidR="00C2132E">
        <w:rPr>
          <w:rFonts w:cs="Times New Roman"/>
          <w:szCs w:val="24"/>
        </w:rPr>
        <w:t xml:space="preserve"> indicating that this work i</w:t>
      </w:r>
      <w:r w:rsidR="00421F9A">
        <w:rPr>
          <w:rFonts w:cs="Times New Roman"/>
          <w:szCs w:val="24"/>
        </w:rPr>
        <w:t>s a work-made-fo</w:t>
      </w:r>
      <w:r w:rsidR="00C2132E">
        <w:rPr>
          <w:rFonts w:cs="Times New Roman"/>
          <w:szCs w:val="24"/>
        </w:rPr>
        <w:t xml:space="preserve">r-hire. </w:t>
      </w:r>
      <w:r w:rsidR="00C2132E">
        <w:rPr>
          <w:rFonts w:cs="Times New Roman"/>
          <w:i/>
          <w:szCs w:val="24"/>
        </w:rPr>
        <w:t>Id</w:t>
      </w:r>
      <w:r w:rsidR="00C2132E">
        <w:rPr>
          <w:rFonts w:cs="Times New Roman"/>
          <w:szCs w:val="24"/>
        </w:rPr>
        <w:t xml:space="preserve">.  </w:t>
      </w:r>
    </w:p>
    <w:p w14:paraId="30B9B5CE" w14:textId="77777777" w:rsidR="0068238E" w:rsidRPr="00854212" w:rsidRDefault="00C2132E" w:rsidP="00E85F30">
      <w:pPr>
        <w:spacing w:line="480" w:lineRule="auto"/>
        <w:ind w:firstLine="720"/>
        <w:rPr>
          <w:rFonts w:cs="Times New Roman"/>
          <w:szCs w:val="24"/>
        </w:rPr>
      </w:pPr>
      <w:r>
        <w:rPr>
          <w:rFonts w:cs="Times New Roman"/>
          <w:szCs w:val="24"/>
        </w:rPr>
        <w:t>Therefore if no such signed document was</w:t>
      </w:r>
      <w:r w:rsidR="00421F9A">
        <w:rPr>
          <w:rFonts w:cs="Times New Roman"/>
          <w:szCs w:val="24"/>
        </w:rPr>
        <w:t xml:space="preserve"> created, </w:t>
      </w:r>
      <w:r>
        <w:rPr>
          <w:rFonts w:cs="Times New Roman"/>
          <w:szCs w:val="24"/>
        </w:rPr>
        <w:t xml:space="preserve">the </w:t>
      </w:r>
      <w:r w:rsidR="00421F9A">
        <w:rPr>
          <w:rFonts w:cs="Times New Roman"/>
          <w:szCs w:val="24"/>
        </w:rPr>
        <w:t xml:space="preserve">satisfaction of the other defined elements (permitted category and work specially ordered or commissioned) becomes immaterial.  Congress did not </w:t>
      </w:r>
      <w:r>
        <w:rPr>
          <w:rFonts w:cs="Times New Roman"/>
          <w:szCs w:val="24"/>
        </w:rPr>
        <w:t>form</w:t>
      </w:r>
      <w:r w:rsidR="00421F9A">
        <w:rPr>
          <w:rFonts w:cs="Times New Roman"/>
          <w:szCs w:val="24"/>
        </w:rPr>
        <w:t xml:space="preserve"> the </w:t>
      </w:r>
      <w:r w:rsidR="002B27C4">
        <w:rPr>
          <w:rFonts w:cs="Times New Roman"/>
          <w:szCs w:val="24"/>
        </w:rPr>
        <w:t>mandate “</w:t>
      </w:r>
      <w:r w:rsidR="002B27C4" w:rsidRPr="0061074D">
        <w:rPr>
          <w:rFonts w:cs="Times New Roman"/>
          <w:szCs w:val="24"/>
        </w:rPr>
        <w:t>if the parties expressly agree in a written instrument signed by them that the work shall be considered a work made for hire</w:t>
      </w:r>
      <w:r w:rsidR="002B27C4">
        <w:rPr>
          <w:rFonts w:cs="Times New Roman"/>
          <w:szCs w:val="24"/>
        </w:rPr>
        <w:t xml:space="preserve">” or any of the terms therein in an </w:t>
      </w:r>
      <w:r w:rsidR="002B27C4">
        <w:rPr>
          <w:rFonts w:cs="Times New Roman"/>
          <w:szCs w:val="24"/>
        </w:rPr>
        <w:lastRenderedPageBreak/>
        <w:t>effort to be redundant or to use surplus verbiage.</w:t>
      </w:r>
      <w:r w:rsidRPr="00C2132E">
        <w:rPr>
          <w:rFonts w:cs="Times New Roman"/>
          <w:i/>
          <w:szCs w:val="24"/>
        </w:rPr>
        <w:t xml:space="preserve"> 17 USCS § 101</w:t>
      </w:r>
      <w:r w:rsidRPr="00C2132E">
        <w:rPr>
          <w:rFonts w:cs="Times New Roman"/>
          <w:szCs w:val="24"/>
        </w:rPr>
        <w:t>.</w:t>
      </w:r>
      <w:r w:rsidR="002B27C4">
        <w:rPr>
          <w:rFonts w:cs="Times New Roman"/>
          <w:szCs w:val="24"/>
        </w:rPr>
        <w:t xml:space="preserve">  Determining Congress’s intention in the </w:t>
      </w:r>
      <w:r w:rsidR="003620FC">
        <w:rPr>
          <w:rFonts w:cs="Times New Roman"/>
          <w:szCs w:val="24"/>
        </w:rPr>
        <w:t>whole</w:t>
      </w:r>
      <w:r w:rsidR="002B27C4">
        <w:rPr>
          <w:rFonts w:cs="Times New Roman"/>
          <w:szCs w:val="24"/>
        </w:rPr>
        <w:t xml:space="preserve"> requires analysis of the component clauses and terms.</w:t>
      </w:r>
    </w:p>
    <w:p w14:paraId="5F8079D3" w14:textId="77777777" w:rsidR="0039583B" w:rsidRPr="00E400D1" w:rsidRDefault="00E400D1" w:rsidP="0039583B">
      <w:pPr>
        <w:pStyle w:val="ListParagraph"/>
        <w:numPr>
          <w:ilvl w:val="1"/>
          <w:numId w:val="2"/>
        </w:numPr>
        <w:spacing w:line="240" w:lineRule="auto"/>
        <w:rPr>
          <w:rFonts w:ascii="Times New Roman" w:hAnsi="Times New Roman" w:cs="Times New Roman"/>
          <w:sz w:val="24"/>
          <w:szCs w:val="24"/>
        </w:rPr>
      </w:pPr>
      <w:r>
        <w:rPr>
          <w:rFonts w:ascii="Times New Roman" w:hAnsi="Times New Roman" w:cs="Times New Roman"/>
          <w:b/>
          <w:sz w:val="24"/>
          <w:szCs w:val="24"/>
        </w:rPr>
        <w:t>The plain meaning of “a written instrument signed by them” indicates that the instrument had to be signed by them prior to product delivery in order to be valid.</w:t>
      </w:r>
    </w:p>
    <w:p w14:paraId="5ECE7342" w14:textId="77777777" w:rsidR="00E400D1" w:rsidRPr="00E400D1" w:rsidRDefault="00E400D1" w:rsidP="00E400D1">
      <w:pPr>
        <w:pStyle w:val="ListParagraph"/>
        <w:spacing w:line="240" w:lineRule="auto"/>
        <w:ind w:left="1800"/>
        <w:rPr>
          <w:rFonts w:ascii="Times New Roman" w:hAnsi="Times New Roman" w:cs="Times New Roman"/>
          <w:sz w:val="24"/>
          <w:szCs w:val="24"/>
        </w:rPr>
      </w:pPr>
    </w:p>
    <w:p w14:paraId="3128A27D" w14:textId="77777777" w:rsidR="00E400D1" w:rsidRDefault="008F5CAD" w:rsidP="00E400D1">
      <w:pPr>
        <w:spacing w:line="480" w:lineRule="auto"/>
        <w:ind w:firstLine="720"/>
        <w:rPr>
          <w:rFonts w:cs="Times New Roman"/>
          <w:szCs w:val="24"/>
        </w:rPr>
      </w:pPr>
      <w:r>
        <w:rPr>
          <w:rFonts w:cs="Times New Roman"/>
          <w:szCs w:val="24"/>
        </w:rPr>
        <w:t xml:space="preserve">Although </w:t>
      </w:r>
      <w:r w:rsidR="00E400D1">
        <w:rPr>
          <w:rFonts w:cs="Times New Roman"/>
          <w:szCs w:val="24"/>
        </w:rPr>
        <w:t>Title 17 U.S.C. §101 defines several of the terms that are found und</w:t>
      </w:r>
      <w:r>
        <w:rPr>
          <w:rFonts w:cs="Times New Roman"/>
          <w:szCs w:val="24"/>
        </w:rPr>
        <w:t>er the work for hire definition; “w</w:t>
      </w:r>
      <w:r w:rsidR="00E400D1">
        <w:rPr>
          <w:rFonts w:cs="Times New Roman"/>
          <w:szCs w:val="24"/>
        </w:rPr>
        <w:t>ritten instrument,” “signed” and “by them” are not among them.</w:t>
      </w:r>
      <w:r>
        <w:rPr>
          <w:rFonts w:cs="Times New Roman"/>
          <w:szCs w:val="24"/>
        </w:rPr>
        <w:t xml:space="preserve"> </w:t>
      </w:r>
      <w:r w:rsidRPr="00C2132E">
        <w:rPr>
          <w:rFonts w:cs="Times New Roman"/>
          <w:i/>
          <w:szCs w:val="24"/>
        </w:rPr>
        <w:t>17 USCS § 101</w:t>
      </w:r>
      <w:r>
        <w:rPr>
          <w:rFonts w:cs="Times New Roman"/>
          <w:szCs w:val="24"/>
        </w:rPr>
        <w:t>.</w:t>
      </w:r>
      <w:r w:rsidR="002B27C4">
        <w:rPr>
          <w:rFonts w:cs="Times New Roman"/>
          <w:szCs w:val="24"/>
        </w:rPr>
        <w:t xml:space="preserve">  </w:t>
      </w:r>
      <w:r w:rsidR="00512CEB">
        <w:rPr>
          <w:rFonts w:cs="Times New Roman"/>
          <w:szCs w:val="24"/>
        </w:rPr>
        <w:t>Left undefined in the statute, it falls to a “common usage” determination to ascertain the terms intended meanings</w:t>
      </w:r>
      <w:r w:rsidR="00060FE2">
        <w:rPr>
          <w:rFonts w:cs="Times New Roman"/>
          <w:szCs w:val="24"/>
        </w:rPr>
        <w:t xml:space="preserve">. </w:t>
      </w:r>
      <w:r w:rsidR="00060FE2">
        <w:rPr>
          <w:rFonts w:cs="Times New Roman"/>
          <w:i/>
          <w:szCs w:val="24"/>
        </w:rPr>
        <w:t>See Sullivan v. Stroop</w:t>
      </w:r>
      <w:r w:rsidR="00060FE2">
        <w:rPr>
          <w:rFonts w:cs="Times New Roman"/>
          <w:szCs w:val="24"/>
        </w:rPr>
        <w:t>, 496 U.S. 478, 482 (1990) (</w:t>
      </w:r>
      <w:r w:rsidR="00060FE2">
        <w:rPr>
          <w:rFonts w:cs="Times New Roman"/>
          <w:i/>
          <w:szCs w:val="24"/>
        </w:rPr>
        <w:t xml:space="preserve">citing </w:t>
      </w:r>
      <w:r w:rsidR="00060FE2" w:rsidRPr="00060FE2">
        <w:rPr>
          <w:rFonts w:cs="Times New Roman"/>
          <w:i/>
          <w:szCs w:val="24"/>
        </w:rPr>
        <w:t>K Mart Corp. v. Cartier, Inc.</w:t>
      </w:r>
      <w:r w:rsidR="00060FE2" w:rsidRPr="00060FE2">
        <w:rPr>
          <w:rFonts w:cs="Times New Roman"/>
          <w:szCs w:val="24"/>
        </w:rPr>
        <w:t>, 486 U.S. 281, 291-292 (1988)</w:t>
      </w:r>
      <w:r w:rsidR="00060FE2">
        <w:rPr>
          <w:rFonts w:cs="Times New Roman"/>
          <w:szCs w:val="24"/>
        </w:rPr>
        <w:t>)</w:t>
      </w:r>
      <w:r w:rsidR="00512CEB">
        <w:rPr>
          <w:rFonts w:cs="Times New Roman"/>
          <w:szCs w:val="24"/>
        </w:rPr>
        <w:t xml:space="preserve">.  The common usage </w:t>
      </w:r>
      <w:r w:rsidR="00060FE2">
        <w:rPr>
          <w:rFonts w:cs="Times New Roman"/>
          <w:szCs w:val="24"/>
        </w:rPr>
        <w:t>definition of the term “</w:t>
      </w:r>
      <w:r w:rsidR="00512CEB">
        <w:rPr>
          <w:rFonts w:cs="Times New Roman"/>
          <w:szCs w:val="24"/>
        </w:rPr>
        <w:t>instrument”</w:t>
      </w:r>
      <w:r w:rsidR="00F62737">
        <w:rPr>
          <w:rFonts w:cs="Times New Roman"/>
          <w:szCs w:val="24"/>
        </w:rPr>
        <w:t xml:space="preserve"> is </w:t>
      </w:r>
      <w:r w:rsidR="001A6C72">
        <w:rPr>
          <w:rFonts w:cs="Times New Roman"/>
          <w:szCs w:val="24"/>
        </w:rPr>
        <w:t>“a formal document, esp. a legal one.</w:t>
      </w:r>
      <w:r w:rsidR="00F62737">
        <w:rPr>
          <w:rFonts w:cs="Times New Roman"/>
          <w:szCs w:val="24"/>
        </w:rPr>
        <w:t xml:space="preserve">” </w:t>
      </w:r>
      <w:r w:rsidR="001A6C72">
        <w:rPr>
          <w:rFonts w:cs="Times New Roman"/>
          <w:i/>
          <w:szCs w:val="24"/>
        </w:rPr>
        <w:t xml:space="preserve">The Oxford College </w:t>
      </w:r>
      <w:r w:rsidR="00F62737" w:rsidRPr="00F62737">
        <w:rPr>
          <w:rFonts w:cs="Times New Roman"/>
          <w:i/>
          <w:szCs w:val="24"/>
        </w:rPr>
        <w:t>Dictionary</w:t>
      </w:r>
      <w:r w:rsidR="001A6C72">
        <w:rPr>
          <w:rFonts w:cs="Times New Roman"/>
          <w:szCs w:val="24"/>
        </w:rPr>
        <w:t xml:space="preserve"> 701</w:t>
      </w:r>
      <w:r w:rsidR="00F62737">
        <w:rPr>
          <w:rFonts w:cs="Times New Roman"/>
          <w:i/>
          <w:szCs w:val="24"/>
        </w:rPr>
        <w:t xml:space="preserve"> </w:t>
      </w:r>
      <w:r w:rsidR="00F62737">
        <w:rPr>
          <w:rFonts w:cs="Times New Roman"/>
          <w:szCs w:val="24"/>
        </w:rPr>
        <w:t>(</w:t>
      </w:r>
      <w:r w:rsidR="001A6C72">
        <w:rPr>
          <w:rFonts w:cs="Times New Roman"/>
          <w:szCs w:val="24"/>
        </w:rPr>
        <w:t>2d ed. 2007</w:t>
      </w:r>
      <w:r w:rsidR="00F62737">
        <w:rPr>
          <w:rFonts w:cs="Times New Roman"/>
          <w:szCs w:val="24"/>
        </w:rPr>
        <w:t xml:space="preserve">).  </w:t>
      </w:r>
      <w:r w:rsidR="003571B5">
        <w:rPr>
          <w:rFonts w:cs="Times New Roman"/>
          <w:szCs w:val="24"/>
        </w:rPr>
        <w:t xml:space="preserve">“Written” </w:t>
      </w:r>
      <w:r w:rsidR="006C6F3A">
        <w:rPr>
          <w:rFonts w:cs="Times New Roman"/>
          <w:szCs w:val="24"/>
        </w:rPr>
        <w:t xml:space="preserve">is a term used to further describe the meaning of “instrument;” commonly usage includes recording “words or other symbols on a surface” by using a writing implement. </w:t>
      </w:r>
      <w:r w:rsidR="006C6F3A">
        <w:rPr>
          <w:rFonts w:cs="Times New Roman"/>
          <w:i/>
          <w:szCs w:val="24"/>
        </w:rPr>
        <w:t>See Id</w:t>
      </w:r>
      <w:r w:rsidR="006C6F3A">
        <w:rPr>
          <w:rFonts w:cs="Times New Roman"/>
          <w:szCs w:val="24"/>
        </w:rPr>
        <w:t xml:space="preserve">. at 1594.  </w:t>
      </w:r>
      <w:r w:rsidR="006965E3">
        <w:rPr>
          <w:rFonts w:cs="Times New Roman"/>
          <w:szCs w:val="24"/>
        </w:rPr>
        <w:t>The pertinent definit</w:t>
      </w:r>
      <w:r w:rsidR="003571B5">
        <w:rPr>
          <w:rFonts w:cs="Times New Roman"/>
          <w:szCs w:val="24"/>
        </w:rPr>
        <w:t>ion of the verb “to sign” is</w:t>
      </w:r>
      <w:r w:rsidR="006965E3" w:rsidRPr="006965E3">
        <w:rPr>
          <w:rFonts w:cs="Times New Roman"/>
          <w:szCs w:val="24"/>
        </w:rPr>
        <w:t xml:space="preserve"> to </w:t>
      </w:r>
      <w:r w:rsidR="003571B5">
        <w:rPr>
          <w:rFonts w:cs="Times New Roman"/>
          <w:szCs w:val="24"/>
        </w:rPr>
        <w:t xml:space="preserve">“indicate agreement with or authorization of the contents of (a document or other written or printed material) by attaching a </w:t>
      </w:r>
      <w:r w:rsidR="006965E3" w:rsidRPr="006965E3">
        <w:rPr>
          <w:rFonts w:cs="Times New Roman"/>
          <w:szCs w:val="24"/>
        </w:rPr>
        <w:t>signature</w:t>
      </w:r>
      <w:r w:rsidR="003571B5">
        <w:rPr>
          <w:rFonts w:cs="Times New Roman"/>
          <w:szCs w:val="24"/>
        </w:rPr>
        <w:t>.”</w:t>
      </w:r>
      <w:r w:rsidR="006965E3" w:rsidRPr="006965E3">
        <w:rPr>
          <w:rFonts w:cs="Times New Roman"/>
          <w:szCs w:val="24"/>
        </w:rPr>
        <w:t xml:space="preserve"> </w:t>
      </w:r>
      <w:r w:rsidR="003571B5">
        <w:rPr>
          <w:rFonts w:cs="Times New Roman"/>
          <w:i/>
          <w:szCs w:val="24"/>
        </w:rPr>
        <w:t>Id</w:t>
      </w:r>
      <w:r w:rsidR="003571B5">
        <w:rPr>
          <w:rFonts w:cs="Times New Roman"/>
          <w:szCs w:val="24"/>
        </w:rPr>
        <w:t xml:space="preserve">. at 1276.  </w:t>
      </w:r>
      <w:r w:rsidR="006965E3">
        <w:rPr>
          <w:rFonts w:cs="Times New Roman"/>
          <w:szCs w:val="24"/>
        </w:rPr>
        <w:t>The common usage of “by them” in this context refers to the parties</w:t>
      </w:r>
      <w:r w:rsidR="006C6F3A">
        <w:rPr>
          <w:rFonts w:cs="Times New Roman"/>
          <w:szCs w:val="24"/>
        </w:rPr>
        <w:t xml:space="preserve"> that are</w:t>
      </w:r>
      <w:r w:rsidR="006965E3">
        <w:rPr>
          <w:rFonts w:cs="Times New Roman"/>
          <w:szCs w:val="24"/>
        </w:rPr>
        <w:t xml:space="preserve"> to be bound by the written instrument.</w:t>
      </w:r>
    </w:p>
    <w:p w14:paraId="7EEE6462" w14:textId="77777777" w:rsidR="006C6F3A" w:rsidRPr="009871E5" w:rsidRDefault="009B37B8" w:rsidP="00E400D1">
      <w:pPr>
        <w:spacing w:line="480" w:lineRule="auto"/>
        <w:ind w:firstLine="720"/>
        <w:rPr>
          <w:rFonts w:cs="Times New Roman"/>
          <w:i/>
          <w:szCs w:val="24"/>
        </w:rPr>
      </w:pPr>
      <w:r>
        <w:rPr>
          <w:rFonts w:cs="Times New Roman"/>
          <w:szCs w:val="24"/>
        </w:rPr>
        <w:t xml:space="preserve">Taken together, and as they would commonly be understood, these terms empirically state the all parties must sign a written instrument in order to designate a product as a work-made-for hire.  The plain meaning common understanding is that a written instrument is not valid if it is signed after </w:t>
      </w:r>
      <w:r w:rsidR="009871E5">
        <w:rPr>
          <w:rFonts w:cs="Times New Roman"/>
          <w:szCs w:val="24"/>
        </w:rPr>
        <w:t xml:space="preserve">the task has been performed and paid for. </w:t>
      </w:r>
      <w:r w:rsidR="009871E5">
        <w:rPr>
          <w:rFonts w:cs="Times New Roman"/>
          <w:i/>
          <w:szCs w:val="24"/>
        </w:rPr>
        <w:t xml:space="preserve">See </w:t>
      </w:r>
      <w:r w:rsidR="009871E5" w:rsidRPr="003A3E8B">
        <w:rPr>
          <w:i/>
        </w:rPr>
        <w:t>Patriot Sci. Corp. v. Korodi</w:t>
      </w:r>
      <w:r w:rsidR="009871E5" w:rsidRPr="003A3E8B">
        <w:t xml:space="preserve">, 504 F. Supp. 2d 952, </w:t>
      </w:r>
      <w:r w:rsidR="009871E5">
        <w:t>962</w:t>
      </w:r>
      <w:r w:rsidR="009871E5" w:rsidRPr="003A3E8B">
        <w:t xml:space="preserve"> (S.D. Cal. 2007)</w:t>
      </w:r>
      <w:r w:rsidR="009871E5">
        <w:t xml:space="preserve"> (</w:t>
      </w:r>
      <w:r w:rsidR="009871E5">
        <w:rPr>
          <w:i/>
        </w:rPr>
        <w:t xml:space="preserve">citing </w:t>
      </w:r>
      <w:r w:rsidR="009871E5" w:rsidRPr="007C10BD">
        <w:rPr>
          <w:rStyle w:val="ssun"/>
          <w:i/>
        </w:rPr>
        <w:t>Continental Ins. Co. v. Rutledge &amp; Co., Inc.</w:t>
      </w:r>
      <w:r w:rsidR="009871E5" w:rsidRPr="007C10BD">
        <w:rPr>
          <w:rStyle w:val="ssun"/>
        </w:rPr>
        <w:t>,</w:t>
      </w:r>
      <w:r w:rsidR="009871E5" w:rsidRPr="007C10BD">
        <w:rPr>
          <w:rStyle w:val="ssrfcpassagedeactivated"/>
        </w:rPr>
        <w:t xml:space="preserve"> 750 A.2d 1219, 1232 (Del.Ch. 2000</w:t>
      </w:r>
      <w:r w:rsidR="009871E5">
        <w:rPr>
          <w:rStyle w:val="ssrfcpassagedeactivated"/>
        </w:rPr>
        <w:t xml:space="preserve">).  </w:t>
      </w:r>
    </w:p>
    <w:p w14:paraId="1A8DEEAD" w14:textId="77777777" w:rsidR="00011839" w:rsidRDefault="00011839" w:rsidP="00E060CC">
      <w:pPr>
        <w:spacing w:line="480" w:lineRule="auto"/>
        <w:ind w:firstLine="720"/>
        <w:rPr>
          <w:rFonts w:cs="Times New Roman"/>
          <w:szCs w:val="24"/>
        </w:rPr>
      </w:pPr>
      <w:r>
        <w:rPr>
          <w:rFonts w:cs="Times New Roman"/>
          <w:szCs w:val="24"/>
        </w:rPr>
        <w:lastRenderedPageBreak/>
        <w:t>Although the written instrument was signed by both parties</w:t>
      </w:r>
      <w:r w:rsidR="00E060CC">
        <w:rPr>
          <w:rFonts w:cs="Times New Roman"/>
          <w:szCs w:val="24"/>
        </w:rPr>
        <w:t xml:space="preserve"> and Lime received payment at that time</w:t>
      </w:r>
      <w:r>
        <w:rPr>
          <w:rFonts w:cs="Times New Roman"/>
          <w:szCs w:val="24"/>
        </w:rPr>
        <w:t xml:space="preserve">, it was signed after the delivery </w:t>
      </w:r>
      <w:r w:rsidR="00E060CC">
        <w:rPr>
          <w:rFonts w:cs="Times New Roman"/>
          <w:szCs w:val="24"/>
        </w:rPr>
        <w:t>of the scre</w:t>
      </w:r>
      <w:r w:rsidR="009B37B8">
        <w:rPr>
          <w:rFonts w:cs="Times New Roman"/>
          <w:szCs w:val="24"/>
        </w:rPr>
        <w:t>enplay.  Therefore, the instrument</w:t>
      </w:r>
      <w:r w:rsidR="00E060CC">
        <w:rPr>
          <w:rFonts w:cs="Times New Roman"/>
          <w:szCs w:val="24"/>
        </w:rPr>
        <w:t xml:space="preserve"> could not be binding because </w:t>
      </w:r>
      <w:r w:rsidR="009871E5">
        <w:rPr>
          <w:rFonts w:cs="Times New Roman"/>
          <w:szCs w:val="24"/>
        </w:rPr>
        <w:t>the terms provided payment</w:t>
      </w:r>
      <w:r w:rsidR="00E060CC">
        <w:rPr>
          <w:rFonts w:cs="Times New Roman"/>
          <w:szCs w:val="24"/>
        </w:rPr>
        <w:t xml:space="preserve"> for an action already p</w:t>
      </w:r>
      <w:r w:rsidR="009871E5">
        <w:rPr>
          <w:rFonts w:cs="Times New Roman"/>
          <w:szCs w:val="24"/>
        </w:rPr>
        <w:t xml:space="preserve">erformed and was therefore not </w:t>
      </w:r>
      <w:r w:rsidR="00E060CC">
        <w:rPr>
          <w:rFonts w:cs="Times New Roman"/>
          <w:szCs w:val="24"/>
        </w:rPr>
        <w:t>supported by consideration.</w:t>
      </w:r>
      <w:r w:rsidR="0060318A">
        <w:rPr>
          <w:rFonts w:cs="Times New Roman"/>
          <w:szCs w:val="24"/>
        </w:rPr>
        <w:t xml:space="preserve">  By signing the written instrument after the fact, the transaction created is one that is untenable under the law.</w:t>
      </w:r>
    </w:p>
    <w:p w14:paraId="520A2C0D" w14:textId="77777777" w:rsidR="0060318A" w:rsidRPr="0060318A" w:rsidRDefault="0060318A" w:rsidP="0060318A">
      <w:pPr>
        <w:pStyle w:val="ListParagraph"/>
        <w:numPr>
          <w:ilvl w:val="1"/>
          <w:numId w:val="2"/>
        </w:numPr>
        <w:spacing w:line="240" w:lineRule="auto"/>
      </w:pPr>
      <w:r w:rsidRPr="0061074D">
        <w:rPr>
          <w:rFonts w:ascii="Times New Roman" w:hAnsi="Times New Roman" w:cs="Times New Roman"/>
          <w:b/>
          <w:sz w:val="24"/>
          <w:szCs w:val="24"/>
        </w:rPr>
        <w:t xml:space="preserve">The </w:t>
      </w:r>
      <w:r>
        <w:rPr>
          <w:rFonts w:ascii="Times New Roman" w:hAnsi="Times New Roman" w:cs="Times New Roman"/>
          <w:b/>
          <w:sz w:val="24"/>
          <w:szCs w:val="24"/>
        </w:rPr>
        <w:t>p</w:t>
      </w:r>
      <w:r w:rsidRPr="0061074D">
        <w:rPr>
          <w:rFonts w:ascii="Times New Roman" w:hAnsi="Times New Roman" w:cs="Times New Roman"/>
          <w:b/>
          <w:sz w:val="24"/>
          <w:szCs w:val="24"/>
        </w:rPr>
        <w:t xml:space="preserve">lain </w:t>
      </w:r>
      <w:r>
        <w:rPr>
          <w:rFonts w:ascii="Times New Roman" w:hAnsi="Times New Roman" w:cs="Times New Roman"/>
          <w:b/>
          <w:sz w:val="24"/>
          <w:szCs w:val="24"/>
        </w:rPr>
        <w:t>m</w:t>
      </w:r>
      <w:r w:rsidRPr="0061074D">
        <w:rPr>
          <w:rFonts w:ascii="Times New Roman" w:hAnsi="Times New Roman" w:cs="Times New Roman"/>
          <w:b/>
          <w:sz w:val="24"/>
          <w:szCs w:val="24"/>
        </w:rPr>
        <w:t>eaning of “</w:t>
      </w:r>
      <w:r>
        <w:rPr>
          <w:rFonts w:ascii="Times New Roman" w:hAnsi="Times New Roman" w:cs="Times New Roman"/>
          <w:b/>
          <w:sz w:val="24"/>
          <w:szCs w:val="24"/>
        </w:rPr>
        <w:t>shall be considered</w:t>
      </w:r>
      <w:r w:rsidR="00655307">
        <w:rPr>
          <w:rFonts w:ascii="Times New Roman" w:hAnsi="Times New Roman" w:cs="Times New Roman"/>
          <w:b/>
          <w:sz w:val="24"/>
          <w:szCs w:val="24"/>
        </w:rPr>
        <w:t>,</w:t>
      </w:r>
      <w:r>
        <w:rPr>
          <w:rFonts w:ascii="Times New Roman" w:hAnsi="Times New Roman" w:cs="Times New Roman"/>
          <w:b/>
          <w:sz w:val="24"/>
          <w:szCs w:val="24"/>
        </w:rPr>
        <w:t>”</w:t>
      </w:r>
      <w:r w:rsidRPr="0061074D">
        <w:rPr>
          <w:rFonts w:ascii="Times New Roman" w:hAnsi="Times New Roman" w:cs="Times New Roman"/>
          <w:b/>
          <w:sz w:val="24"/>
          <w:szCs w:val="24"/>
        </w:rPr>
        <w:t xml:space="preserve"> </w:t>
      </w:r>
      <w:r w:rsidR="00655307">
        <w:rPr>
          <w:rFonts w:ascii="Times New Roman" w:hAnsi="Times New Roman" w:cs="Times New Roman"/>
          <w:b/>
          <w:sz w:val="24"/>
          <w:szCs w:val="24"/>
        </w:rPr>
        <w:t xml:space="preserve">in conjunction with “if” </w:t>
      </w:r>
      <w:r>
        <w:rPr>
          <w:rFonts w:ascii="Times New Roman" w:hAnsi="Times New Roman" w:cs="Times New Roman"/>
          <w:b/>
          <w:sz w:val="24"/>
          <w:szCs w:val="24"/>
        </w:rPr>
        <w:t>precludes designating the screenplay “Anticipatory Repudiation” as a “work-made-for-hire because the grammatical construct of the phrase indicates a mandatory future action that is predicated on an action that has already taken place.</w:t>
      </w:r>
    </w:p>
    <w:p w14:paraId="6B48DA51" w14:textId="77777777" w:rsidR="0060318A" w:rsidRPr="00E060CC" w:rsidRDefault="0060318A" w:rsidP="0060318A">
      <w:pPr>
        <w:pStyle w:val="ListParagraph"/>
        <w:spacing w:line="240" w:lineRule="auto"/>
        <w:ind w:left="1800"/>
      </w:pPr>
    </w:p>
    <w:p w14:paraId="64EC4F55" w14:textId="77777777" w:rsidR="00DB510A" w:rsidRPr="006A0C18" w:rsidRDefault="0060318A" w:rsidP="00E400D1">
      <w:pPr>
        <w:spacing w:line="480" w:lineRule="auto"/>
        <w:ind w:firstLine="720"/>
        <w:rPr>
          <w:rFonts w:cs="Times New Roman"/>
          <w:szCs w:val="24"/>
        </w:rPr>
      </w:pPr>
      <w:r>
        <w:rPr>
          <w:rFonts w:cs="Times New Roman"/>
          <w:szCs w:val="24"/>
        </w:rPr>
        <w:t xml:space="preserve">Linguistic canon </w:t>
      </w:r>
      <w:r w:rsidR="00655307">
        <w:rPr>
          <w:rFonts w:cs="Times New Roman"/>
          <w:szCs w:val="24"/>
        </w:rPr>
        <w:t>6.11 discusses the mandatory nature of the word “shall,” opining that “must” could also serve to furnish the same intent.</w:t>
      </w:r>
      <w:r w:rsidR="009871E5">
        <w:rPr>
          <w:rFonts w:cs="Times New Roman"/>
          <w:szCs w:val="24"/>
        </w:rPr>
        <w:t xml:space="preserve"> Ronald Benton Brown &amp; Sharon Jacobs Brown, </w:t>
      </w:r>
      <w:r w:rsidR="009871E5">
        <w:rPr>
          <w:rFonts w:cs="Times New Roman"/>
          <w:i/>
          <w:szCs w:val="24"/>
        </w:rPr>
        <w:t xml:space="preserve">Statutory Interpretation: The Search for Legislative </w:t>
      </w:r>
      <w:r w:rsidR="009871E5" w:rsidRPr="009871E5">
        <w:rPr>
          <w:rFonts w:cs="Times New Roman"/>
          <w:i/>
          <w:szCs w:val="24"/>
        </w:rPr>
        <w:t>Intent</w:t>
      </w:r>
      <w:r w:rsidR="009871E5">
        <w:rPr>
          <w:rFonts w:cs="Times New Roman"/>
          <w:i/>
          <w:szCs w:val="24"/>
        </w:rPr>
        <w:t xml:space="preserve"> </w:t>
      </w:r>
      <w:r w:rsidR="009871E5">
        <w:rPr>
          <w:rFonts w:cs="Times New Roman"/>
          <w:szCs w:val="24"/>
        </w:rPr>
        <w:t>111-12 (2d ed. 2011)</w:t>
      </w:r>
      <w:r w:rsidR="00655307">
        <w:rPr>
          <w:rFonts w:cs="Times New Roman"/>
          <w:szCs w:val="24"/>
        </w:rPr>
        <w:t xml:space="preserve">  </w:t>
      </w:r>
      <w:r w:rsidR="00512A8A">
        <w:rPr>
          <w:rFonts w:cs="Times New Roman"/>
          <w:szCs w:val="24"/>
        </w:rPr>
        <w:t>This mandatory intent is supported by the common usage of the word “shall;” “3. expressing an instruction or a command.”</w:t>
      </w:r>
      <w:r w:rsidR="00655307">
        <w:rPr>
          <w:rFonts w:cs="Times New Roman"/>
          <w:szCs w:val="24"/>
        </w:rPr>
        <w:t xml:space="preserve"> </w:t>
      </w:r>
      <w:r w:rsidR="00512A8A">
        <w:rPr>
          <w:rFonts w:cs="Times New Roman"/>
          <w:i/>
          <w:szCs w:val="24"/>
        </w:rPr>
        <w:t xml:space="preserve">The Oxford College </w:t>
      </w:r>
      <w:r w:rsidR="00512A8A" w:rsidRPr="00F62737">
        <w:rPr>
          <w:rFonts w:cs="Times New Roman"/>
          <w:i/>
          <w:szCs w:val="24"/>
        </w:rPr>
        <w:t>Dictionary</w:t>
      </w:r>
      <w:r w:rsidR="006A0C18">
        <w:rPr>
          <w:rFonts w:cs="Times New Roman"/>
          <w:szCs w:val="24"/>
        </w:rPr>
        <w:t xml:space="preserve"> 1257</w:t>
      </w:r>
      <w:r w:rsidR="00512A8A">
        <w:rPr>
          <w:rFonts w:cs="Times New Roman"/>
          <w:i/>
          <w:szCs w:val="24"/>
        </w:rPr>
        <w:t xml:space="preserve"> </w:t>
      </w:r>
      <w:r w:rsidR="00512A8A">
        <w:rPr>
          <w:rFonts w:cs="Times New Roman"/>
          <w:szCs w:val="24"/>
        </w:rPr>
        <w:t xml:space="preserve">(2d ed. 2007).  </w:t>
      </w:r>
      <w:r w:rsidR="006A0C18">
        <w:rPr>
          <w:rFonts w:cs="Times New Roman"/>
          <w:szCs w:val="24"/>
        </w:rPr>
        <w:t>However, §101</w:t>
      </w:r>
      <w:r w:rsidR="00655307">
        <w:rPr>
          <w:rFonts w:cs="Times New Roman"/>
          <w:szCs w:val="24"/>
        </w:rPr>
        <w:t xml:space="preserve"> must be read in its entirety and doing so reveals the word “if” that operates on the </w:t>
      </w:r>
      <w:r w:rsidR="00CE3F8B">
        <w:rPr>
          <w:rFonts w:cs="Times New Roman"/>
          <w:szCs w:val="24"/>
        </w:rPr>
        <w:t>applicability of “shall be considered.”</w:t>
      </w:r>
      <w:r w:rsidR="006A0C18">
        <w:rPr>
          <w:rFonts w:cs="Times New Roman"/>
          <w:szCs w:val="24"/>
        </w:rPr>
        <w:t xml:space="preserve">  The dictionary defines “if” as “1. introducing a conditional clause.” </w:t>
      </w:r>
      <w:r w:rsidR="006A0C18">
        <w:rPr>
          <w:rFonts w:cs="Times New Roman"/>
          <w:i/>
          <w:szCs w:val="24"/>
        </w:rPr>
        <w:t>Id</w:t>
      </w:r>
      <w:r w:rsidR="006A0C18">
        <w:rPr>
          <w:rFonts w:cs="Times New Roman"/>
          <w:szCs w:val="24"/>
        </w:rPr>
        <w:t>. at 677.  Taken together, the common usage of “if” and “shall” means that if introduces a condition and “shall” determines that fulfillment of the condition is mandatory.</w:t>
      </w:r>
    </w:p>
    <w:p w14:paraId="58AC5E19" w14:textId="77777777" w:rsidR="00150785" w:rsidRDefault="00CE3F8B" w:rsidP="00E400D1">
      <w:pPr>
        <w:spacing w:line="480" w:lineRule="auto"/>
        <w:ind w:firstLine="720"/>
        <w:rPr>
          <w:rFonts w:cs="Times New Roman"/>
          <w:szCs w:val="24"/>
        </w:rPr>
      </w:pPr>
      <w:r>
        <w:rPr>
          <w:rFonts w:cs="Times New Roman"/>
          <w:szCs w:val="24"/>
        </w:rPr>
        <w:t>In this context</w:t>
      </w:r>
      <w:r w:rsidR="00685220">
        <w:rPr>
          <w:rFonts w:cs="Times New Roman"/>
          <w:szCs w:val="24"/>
        </w:rPr>
        <w:t>,</w:t>
      </w:r>
      <w:r>
        <w:rPr>
          <w:rFonts w:cs="Times New Roman"/>
          <w:szCs w:val="24"/>
        </w:rPr>
        <w:t xml:space="preserve"> the concept is analogous to an “if, then” statement used by computer programmers - if these conditions are met, then do this (e.g. if SUM &lt;0 then PRINT).  </w:t>
      </w:r>
      <w:r w:rsidR="00685220">
        <w:rPr>
          <w:rFonts w:cs="Times New Roman"/>
          <w:szCs w:val="24"/>
        </w:rPr>
        <w:t>Logically, of course, the opposite also applies; if these conditions are not met then this is not to be done.  The conditions that are bracketed by “if” and “shall be considered” is the requirement that “</w:t>
      </w:r>
      <w:r w:rsidR="00685220" w:rsidRPr="0061074D">
        <w:rPr>
          <w:rFonts w:cs="Times New Roman"/>
          <w:szCs w:val="24"/>
        </w:rPr>
        <w:t>the parties expressly agree in a written instrument signed by them that the work</w:t>
      </w:r>
      <w:r w:rsidR="00150785">
        <w:rPr>
          <w:rFonts w:cs="Times New Roman"/>
          <w:szCs w:val="24"/>
        </w:rPr>
        <w:t>.”</w:t>
      </w:r>
      <w:r w:rsidR="006A0C18">
        <w:rPr>
          <w:rFonts w:cs="Times New Roman"/>
          <w:szCs w:val="24"/>
        </w:rPr>
        <w:t xml:space="preserve">  The computer approaches the instruction in the same manner as the plain meaning of the statute indicates – </w:t>
      </w:r>
      <w:r w:rsidR="006A0C18">
        <w:rPr>
          <w:rFonts w:cs="Times New Roman"/>
          <w:szCs w:val="24"/>
        </w:rPr>
        <w:lastRenderedPageBreak/>
        <w:t xml:space="preserve">follow the instructions in order.  If the condition is not met, the next step is never attempted.  This analysis implies that </w:t>
      </w:r>
      <w:r w:rsidR="00307273">
        <w:rPr>
          <w:rFonts w:cs="Times New Roman"/>
          <w:szCs w:val="24"/>
        </w:rPr>
        <w:t>there is a future tense necessary to the fulfillment of condition.  However, the dictionary offers a</w:t>
      </w:r>
      <w:r w:rsidR="00150785">
        <w:rPr>
          <w:rFonts w:cs="Times New Roman"/>
          <w:szCs w:val="24"/>
        </w:rPr>
        <w:t xml:space="preserve">nother definition </w:t>
      </w:r>
      <w:r w:rsidR="00307273">
        <w:rPr>
          <w:rFonts w:cs="Times New Roman"/>
          <w:szCs w:val="24"/>
        </w:rPr>
        <w:t xml:space="preserve">that validates this plain meaning assertion; “expressing the future tense.” </w:t>
      </w:r>
      <w:r w:rsidR="00307273">
        <w:rPr>
          <w:rFonts w:cs="Times New Roman"/>
          <w:i/>
          <w:szCs w:val="24"/>
        </w:rPr>
        <w:t>Id</w:t>
      </w:r>
      <w:r w:rsidR="00307273">
        <w:rPr>
          <w:rFonts w:cs="Times New Roman"/>
          <w:szCs w:val="24"/>
        </w:rPr>
        <w:t xml:space="preserve">. at 1257.  </w:t>
      </w:r>
      <w:r w:rsidR="00150785" w:rsidRPr="00150785">
        <w:rPr>
          <w:rFonts w:cs="Times New Roman"/>
          <w:szCs w:val="24"/>
        </w:rPr>
        <w:t xml:space="preserve"> express simple futurity</w:t>
      </w:r>
      <w:r w:rsidR="00150785">
        <w:rPr>
          <w:rFonts w:cs="Times New Roman"/>
          <w:szCs w:val="24"/>
        </w:rPr>
        <w:t xml:space="preserve">.” </w:t>
      </w:r>
      <w:r w:rsidR="00150785">
        <w:rPr>
          <w:rFonts w:cs="Times New Roman"/>
          <w:i/>
          <w:szCs w:val="24"/>
        </w:rPr>
        <w:t>Id</w:t>
      </w:r>
      <w:r w:rsidR="00150785">
        <w:rPr>
          <w:rFonts w:cs="Times New Roman"/>
          <w:szCs w:val="24"/>
        </w:rPr>
        <w:t xml:space="preserve">. </w:t>
      </w:r>
      <w:r w:rsidR="00307273">
        <w:rPr>
          <w:rFonts w:cs="Times New Roman"/>
          <w:szCs w:val="24"/>
        </w:rPr>
        <w:t xml:space="preserve">at 1257.  Therefore, the plain meaning supports the determination that if certain conditions are met, then a certain outcome will result and that, grammatically, the conditions must be met before the outcome.  </w:t>
      </w:r>
    </w:p>
    <w:p w14:paraId="67A2C656" w14:textId="77777777" w:rsidR="00150785" w:rsidRDefault="00150785" w:rsidP="00E400D1">
      <w:pPr>
        <w:spacing w:line="480" w:lineRule="auto"/>
        <w:ind w:firstLine="720"/>
        <w:rPr>
          <w:rFonts w:cs="Times New Roman"/>
          <w:szCs w:val="24"/>
        </w:rPr>
      </w:pPr>
      <w:r>
        <w:rPr>
          <w:rFonts w:cs="Times New Roman"/>
          <w:szCs w:val="24"/>
        </w:rPr>
        <w:t>In order for the clause “shall be considered a work-made-for-hire” to become grammatically operative, it was necessary for Lime and OGS TV to meet the</w:t>
      </w:r>
      <w:r w:rsidR="008038D8">
        <w:rPr>
          <w:rFonts w:cs="Times New Roman"/>
          <w:szCs w:val="24"/>
        </w:rPr>
        <w:t xml:space="preserve"> conditions that were formed </w:t>
      </w:r>
      <w:r>
        <w:rPr>
          <w:rFonts w:cs="Times New Roman"/>
          <w:szCs w:val="24"/>
        </w:rPr>
        <w:t>following the word “if</w:t>
      </w:r>
      <w:r w:rsidR="00307273">
        <w:rPr>
          <w:rFonts w:cs="Times New Roman"/>
          <w:szCs w:val="24"/>
        </w:rPr>
        <w:t>.</w:t>
      </w:r>
      <w:r>
        <w:rPr>
          <w:rFonts w:cs="Times New Roman"/>
          <w:szCs w:val="24"/>
        </w:rPr>
        <w:t xml:space="preserve">”  Those conditions were for both Nelson and </w:t>
      </w:r>
      <w:r w:rsidR="004B3198">
        <w:rPr>
          <w:rFonts w:cs="Times New Roman"/>
          <w:szCs w:val="24"/>
        </w:rPr>
        <w:t>Lime to sign a written instrument expressly stating that the work was created as a work-made-for-hire.  As the Plaintiff has freely ackn</w:t>
      </w:r>
      <w:r w:rsidR="00307273">
        <w:rPr>
          <w:rFonts w:cs="Times New Roman"/>
          <w:szCs w:val="24"/>
        </w:rPr>
        <w:t>owledged and stipulated in its C</w:t>
      </w:r>
      <w:r w:rsidR="004B3198">
        <w:rPr>
          <w:rFonts w:cs="Times New Roman"/>
          <w:szCs w:val="24"/>
        </w:rPr>
        <w:t xml:space="preserve">omplaint, the written instrument was neither presented to nor signed by the Defendant until well after the screenplay was </w:t>
      </w:r>
      <w:r w:rsidR="008038D8">
        <w:rPr>
          <w:rFonts w:cs="Times New Roman"/>
          <w:szCs w:val="24"/>
        </w:rPr>
        <w:t xml:space="preserve">delivered to the Plaintiff.  </w:t>
      </w:r>
      <w:r w:rsidR="007E34C9">
        <w:rPr>
          <w:rFonts w:cs="Times New Roman"/>
          <w:szCs w:val="24"/>
        </w:rPr>
        <w:t xml:space="preserve">The statute requires that the instrument must be signed prior to the work’s creation.  </w:t>
      </w:r>
      <w:r w:rsidR="008038D8">
        <w:rPr>
          <w:rFonts w:cs="Times New Roman"/>
          <w:szCs w:val="24"/>
        </w:rPr>
        <w:t xml:space="preserve">Accordingly, </w:t>
      </w:r>
      <w:r w:rsidR="007E34C9">
        <w:rPr>
          <w:rFonts w:cs="Times New Roman"/>
          <w:szCs w:val="24"/>
        </w:rPr>
        <w:t xml:space="preserve">as </w:t>
      </w:r>
      <w:r w:rsidR="008038D8">
        <w:rPr>
          <w:rFonts w:cs="Times New Roman"/>
          <w:szCs w:val="24"/>
        </w:rPr>
        <w:t>the conditions required by the statute are not met and “Anticipatory Repudiation” cannot be considered a work-made-for-hire.</w:t>
      </w:r>
    </w:p>
    <w:p w14:paraId="6A9FC89A" w14:textId="77777777" w:rsidR="00455E59" w:rsidRDefault="00455E59" w:rsidP="00455E59">
      <w:pPr>
        <w:pStyle w:val="ListParagraph"/>
        <w:numPr>
          <w:ilvl w:val="0"/>
          <w:numId w:val="2"/>
        </w:numPr>
        <w:spacing w:line="240" w:lineRule="auto"/>
        <w:rPr>
          <w:rFonts w:ascii="Times New Roman" w:hAnsi="Times New Roman" w:cs="Times New Roman"/>
          <w:b/>
          <w:sz w:val="24"/>
          <w:szCs w:val="24"/>
        </w:rPr>
      </w:pPr>
      <w:r>
        <w:rPr>
          <w:rFonts w:ascii="Times New Roman" w:hAnsi="Times New Roman" w:cs="Times New Roman"/>
          <w:b/>
          <w:sz w:val="24"/>
          <w:szCs w:val="24"/>
        </w:rPr>
        <w:t>The Canons of Statutory Interpretation Do Not Allow for the Interpretation of a Section That Would Contradict or Invalidate the Meaning of Another</w:t>
      </w:r>
    </w:p>
    <w:p w14:paraId="0EDFA35A" w14:textId="77777777" w:rsidR="00455E59" w:rsidRDefault="00455E59" w:rsidP="00455E59">
      <w:pPr>
        <w:spacing w:line="240" w:lineRule="auto"/>
        <w:rPr>
          <w:rFonts w:cs="Times New Roman"/>
          <w:b/>
          <w:szCs w:val="24"/>
        </w:rPr>
      </w:pPr>
    </w:p>
    <w:p w14:paraId="348A5A49" w14:textId="77777777" w:rsidR="00455E59" w:rsidRDefault="00455E59" w:rsidP="00455E59">
      <w:pPr>
        <w:spacing w:line="480" w:lineRule="auto"/>
        <w:ind w:firstLine="720"/>
        <w:rPr>
          <w:rFonts w:cs="Times New Roman"/>
          <w:szCs w:val="24"/>
        </w:rPr>
      </w:pPr>
      <w:r>
        <w:rPr>
          <w:rFonts w:cs="Times New Roman"/>
          <w:szCs w:val="24"/>
        </w:rPr>
        <w:t xml:space="preserve">If the Plaintiffs’ interpretation of § 101(2) were accepted as valid it would serve to negate the necessity and thereby the validity of § 204(a) or, rather more likely, vice versa.  Taking the statute as whole, § 204(a) exists to allow for the transfer of copyright ownership to another party after the creation of the product.  If that could be accomplished under the provisions of § 101(2), there would then be no need for § 204(a).  Alternatively, the statement can be posed in the reverse order, as well.  One would have to assume that Congress created two provisions to </w:t>
      </w:r>
      <w:r>
        <w:rPr>
          <w:rFonts w:cs="Times New Roman"/>
          <w:szCs w:val="24"/>
        </w:rPr>
        <w:lastRenderedPageBreak/>
        <w:t xml:space="preserve">accomplish the same task and given the extensive and lengthy nature of the debate, it was done intentionally.  </w:t>
      </w:r>
    </w:p>
    <w:p w14:paraId="3AB66AE7" w14:textId="77777777" w:rsidR="00455E59" w:rsidRPr="00455E59" w:rsidRDefault="00455E59" w:rsidP="00455E59">
      <w:pPr>
        <w:spacing w:line="480" w:lineRule="auto"/>
        <w:ind w:firstLine="720"/>
        <w:rPr>
          <w:rFonts w:cs="Times New Roman"/>
          <w:szCs w:val="24"/>
        </w:rPr>
      </w:pPr>
      <w:r>
        <w:rPr>
          <w:rFonts w:cs="Times New Roman"/>
          <w:szCs w:val="24"/>
        </w:rPr>
        <w:t>Section 101(2) requires that a written instrument be signed by both parties prior the creation of a work-made-for-hire because Congress determined that the clause to be used to transfer copyright ownership, for all products, after their creation would be § 204(a).  As the ownership of the copyright for the screenplay “Anticipatory Repudiation” was not expressly transferred to the Plaintiff, Defendant Lime retains ownership of the copyright.</w:t>
      </w:r>
    </w:p>
    <w:p w14:paraId="032FE53B" w14:textId="77777777" w:rsidR="004A4A7F" w:rsidRDefault="004A4A7F" w:rsidP="004A4A7F">
      <w:pPr>
        <w:pStyle w:val="ListParagraph"/>
        <w:numPr>
          <w:ilvl w:val="0"/>
          <w:numId w:val="2"/>
        </w:numPr>
        <w:spacing w:line="240" w:lineRule="auto"/>
        <w:rPr>
          <w:rFonts w:ascii="Times New Roman" w:hAnsi="Times New Roman" w:cs="Times New Roman"/>
          <w:b/>
          <w:sz w:val="24"/>
          <w:szCs w:val="24"/>
        </w:rPr>
      </w:pPr>
      <w:r>
        <w:rPr>
          <w:rFonts w:ascii="Times New Roman" w:hAnsi="Times New Roman" w:cs="Times New Roman"/>
          <w:b/>
          <w:sz w:val="24"/>
          <w:szCs w:val="24"/>
        </w:rPr>
        <w:t>The Plain Meaning is Strengthened by the Legislative History, Which Shows Congress’s Intent to Require a Written Agreement Be Created Prior to the Creation and Delivery of the Work</w:t>
      </w:r>
    </w:p>
    <w:p w14:paraId="5F79BC95" w14:textId="77777777" w:rsidR="004A4A7F" w:rsidRDefault="004A4A7F" w:rsidP="004A4A7F">
      <w:pPr>
        <w:pStyle w:val="ListParagraph"/>
        <w:spacing w:line="240" w:lineRule="auto"/>
        <w:ind w:left="1080"/>
        <w:rPr>
          <w:rFonts w:ascii="Times New Roman" w:hAnsi="Times New Roman" w:cs="Times New Roman"/>
          <w:b/>
          <w:sz w:val="24"/>
          <w:szCs w:val="24"/>
        </w:rPr>
      </w:pPr>
    </w:p>
    <w:p w14:paraId="5C448A27" w14:textId="77777777" w:rsidR="004A4A7F" w:rsidRDefault="00FF4CE2" w:rsidP="004A4A7F">
      <w:pPr>
        <w:spacing w:line="480" w:lineRule="auto"/>
        <w:ind w:firstLine="720"/>
        <w:rPr>
          <w:rFonts w:cs="Times New Roman"/>
          <w:szCs w:val="24"/>
        </w:rPr>
      </w:pPr>
      <w:r>
        <w:rPr>
          <w:rFonts w:cs="Times New Roman"/>
          <w:szCs w:val="24"/>
        </w:rPr>
        <w:t>Soon after the creation of the Copyright Act of 1909, Congress and the courts took note of the fact that, for certain circumstances, the statute was rapidly becoming obsolete</w:t>
      </w:r>
      <w:r w:rsidRPr="007E34C9">
        <w:rPr>
          <w:rFonts w:cs="Times New Roman"/>
          <w:i/>
          <w:szCs w:val="24"/>
        </w:rPr>
        <w:t xml:space="preserve">. </w:t>
      </w:r>
      <w:r w:rsidR="007E34C9">
        <w:rPr>
          <w:rFonts w:cs="Times New Roman"/>
          <w:i/>
          <w:szCs w:val="24"/>
        </w:rPr>
        <w:t xml:space="preserve">See </w:t>
      </w:r>
      <w:r w:rsidR="007E34C9" w:rsidRPr="007E34C9">
        <w:rPr>
          <w:rFonts w:cs="Times New Roman"/>
          <w:i/>
          <w:szCs w:val="24"/>
        </w:rPr>
        <w:t>Copyright Law Revision, Studies 11-13, Studies Prepared for the Subcommittee on Patents, Trademarks, and Copyrights</w:t>
      </w:r>
      <w:r w:rsidR="007E34C9">
        <w:rPr>
          <w:rFonts w:cs="Times New Roman"/>
          <w:szCs w:val="24"/>
        </w:rPr>
        <w:t>, 86th Cong. (1958)</w:t>
      </w:r>
      <w:r>
        <w:rPr>
          <w:rFonts w:cs="Times New Roman"/>
          <w:szCs w:val="24"/>
        </w:rPr>
        <w:t xml:space="preserve"> </w:t>
      </w:r>
      <w:r w:rsidR="007E34C9">
        <w:rPr>
          <w:rFonts w:cs="Times New Roman"/>
          <w:szCs w:val="24"/>
        </w:rPr>
        <w:t xml:space="preserve"> </w:t>
      </w:r>
      <w:r>
        <w:rPr>
          <w:rFonts w:cs="Times New Roman"/>
          <w:szCs w:val="24"/>
        </w:rPr>
        <w:t xml:space="preserve">The courts attempted to articulate a </w:t>
      </w:r>
      <w:r w:rsidR="007E34C9">
        <w:rPr>
          <w:rFonts w:cs="Times New Roman"/>
          <w:szCs w:val="24"/>
        </w:rPr>
        <w:t xml:space="preserve">works-made-for-hire </w:t>
      </w:r>
      <w:r>
        <w:rPr>
          <w:rFonts w:cs="Times New Roman"/>
          <w:szCs w:val="24"/>
        </w:rPr>
        <w:t xml:space="preserve">standard nine years later </w:t>
      </w:r>
      <w:r w:rsidR="00006FFB">
        <w:rPr>
          <w:rFonts w:cs="Times New Roman"/>
          <w:szCs w:val="24"/>
        </w:rPr>
        <w:t xml:space="preserve">by designating the copyright of a picture to belong to the subject and not the photographer. </w:t>
      </w:r>
      <w:r w:rsidR="007E34C9">
        <w:rPr>
          <w:rFonts w:cs="Times New Roman"/>
          <w:i/>
          <w:szCs w:val="24"/>
        </w:rPr>
        <w:t xml:space="preserve">See </w:t>
      </w:r>
      <w:r w:rsidR="00006FFB" w:rsidRPr="00006FFB">
        <w:rPr>
          <w:rFonts w:cs="Times New Roman"/>
          <w:i/>
          <w:szCs w:val="24"/>
        </w:rPr>
        <w:t>Altman v. New Haven Union Co.</w:t>
      </w:r>
      <w:r w:rsidR="00006FFB" w:rsidRPr="00006FFB">
        <w:rPr>
          <w:rFonts w:cs="Times New Roman"/>
          <w:szCs w:val="24"/>
        </w:rPr>
        <w:t>, 254 F. 113, 188 (D. Conn. 1918)</w:t>
      </w:r>
      <w:r w:rsidR="00006FFB">
        <w:rPr>
          <w:rFonts w:cs="Times New Roman"/>
          <w:szCs w:val="24"/>
        </w:rPr>
        <w:t xml:space="preserve">.  In 1924, Congress first addressed copyright issues concerning motion pictures made using the copyrights of another party. </w:t>
      </w:r>
      <w:r w:rsidR="007E34C9" w:rsidRPr="007E34C9">
        <w:rPr>
          <w:rFonts w:cs="Times New Roman"/>
          <w:i/>
          <w:szCs w:val="24"/>
        </w:rPr>
        <w:t xml:space="preserve">See </w:t>
      </w:r>
      <w:r w:rsidR="00006FFB" w:rsidRPr="007E34C9">
        <w:rPr>
          <w:rFonts w:cs="Times New Roman"/>
          <w:i/>
          <w:szCs w:val="24"/>
        </w:rPr>
        <w:t>Copyright Law Revision, Studies 11-13, Studies Prepared for the Subcommittee on Patents, Trademarks, and Copyrights</w:t>
      </w:r>
      <w:r w:rsidR="00006FFB">
        <w:rPr>
          <w:rFonts w:cs="Times New Roman"/>
          <w:szCs w:val="24"/>
        </w:rPr>
        <w:t xml:space="preserve">, 86th Cong. 131 (1958) </w:t>
      </w:r>
      <w:r w:rsidR="007E34C9">
        <w:rPr>
          <w:rFonts w:cs="Times New Roman"/>
          <w:szCs w:val="24"/>
        </w:rPr>
        <w:t>(</w:t>
      </w:r>
      <w:r w:rsidR="00006FFB" w:rsidRPr="007E34C9">
        <w:rPr>
          <w:rFonts w:cs="Times New Roman"/>
          <w:i/>
          <w:szCs w:val="24"/>
        </w:rPr>
        <w:t>citing H.R. 8177</w:t>
      </w:r>
      <w:r w:rsidR="00006FFB">
        <w:rPr>
          <w:rFonts w:cs="Times New Roman"/>
          <w:szCs w:val="24"/>
        </w:rPr>
        <w:t>, 68</w:t>
      </w:r>
      <w:r w:rsidR="00006FFB" w:rsidRPr="00006FFB">
        <w:rPr>
          <w:rFonts w:cs="Times New Roman"/>
          <w:szCs w:val="24"/>
          <w:vertAlign w:val="superscript"/>
        </w:rPr>
        <w:t>th</w:t>
      </w:r>
      <w:r w:rsidR="00006FFB">
        <w:rPr>
          <w:rFonts w:cs="Times New Roman"/>
          <w:szCs w:val="24"/>
        </w:rPr>
        <w:t xml:space="preserve"> Cong., 1</w:t>
      </w:r>
      <w:r w:rsidR="00006FFB" w:rsidRPr="00006FFB">
        <w:rPr>
          <w:rFonts w:cs="Times New Roman"/>
          <w:szCs w:val="24"/>
          <w:vertAlign w:val="superscript"/>
        </w:rPr>
        <w:t>st</w:t>
      </w:r>
      <w:r w:rsidR="00006FFB">
        <w:rPr>
          <w:rFonts w:cs="Times New Roman"/>
          <w:szCs w:val="24"/>
        </w:rPr>
        <w:t xml:space="preserve"> Sess. (1924)</w:t>
      </w:r>
      <w:r w:rsidR="007E34C9">
        <w:rPr>
          <w:rFonts w:cs="Times New Roman"/>
          <w:szCs w:val="24"/>
        </w:rPr>
        <w:t>)</w:t>
      </w:r>
      <w:r w:rsidR="00006FFB">
        <w:rPr>
          <w:rFonts w:cs="Times New Roman"/>
          <w:szCs w:val="24"/>
        </w:rPr>
        <w:t xml:space="preserve">.  The same study identified numerous attempts to amend the 1909 act </w:t>
      </w:r>
      <w:r w:rsidR="00572153">
        <w:rPr>
          <w:rFonts w:cs="Times New Roman"/>
          <w:szCs w:val="24"/>
        </w:rPr>
        <w:t xml:space="preserve">to account for the previously unconsidered category of work products created on commission by nonemployees; this clause from the “Thomas bill” of 1940 is representative of the focus taken by each of the attempts “[t]his provision [the undisputed copyright of employers] shall not apply to works created under special commission where there </w:t>
      </w:r>
      <w:r w:rsidR="00572153">
        <w:rPr>
          <w:rFonts w:cs="Times New Roman"/>
          <w:szCs w:val="24"/>
        </w:rPr>
        <w:lastRenderedPageBreak/>
        <w:t xml:space="preserve">is no relation of employer and employee, unless the parties agree otherwise.” </w:t>
      </w:r>
      <w:r w:rsidR="007E34C9" w:rsidRPr="007E34C9">
        <w:rPr>
          <w:rFonts w:cs="Times New Roman"/>
          <w:i/>
          <w:szCs w:val="24"/>
        </w:rPr>
        <w:t>Id</w:t>
      </w:r>
      <w:r w:rsidR="007E34C9">
        <w:rPr>
          <w:rFonts w:cs="Times New Roman"/>
          <w:szCs w:val="24"/>
        </w:rPr>
        <w:t xml:space="preserve">. at </w:t>
      </w:r>
      <w:r w:rsidR="00572153">
        <w:rPr>
          <w:rFonts w:cs="Times New Roman"/>
          <w:szCs w:val="24"/>
        </w:rPr>
        <w:t>134-35 (</w:t>
      </w:r>
      <w:r w:rsidR="00572153" w:rsidRPr="007E34C9">
        <w:rPr>
          <w:rFonts w:cs="Times New Roman"/>
          <w:i/>
          <w:szCs w:val="24"/>
        </w:rPr>
        <w:t>citing Congressional Record</w:t>
      </w:r>
      <w:r w:rsidR="00572153">
        <w:rPr>
          <w:rFonts w:cs="Times New Roman"/>
          <w:szCs w:val="24"/>
        </w:rPr>
        <w:t>, Vol. 86, No, 136 (1940)</w:t>
      </w:r>
      <w:r w:rsidR="007E34C9">
        <w:rPr>
          <w:rFonts w:cs="Times New Roman"/>
          <w:szCs w:val="24"/>
        </w:rPr>
        <w:t>)</w:t>
      </w:r>
      <w:r w:rsidR="00572153">
        <w:rPr>
          <w:rFonts w:cs="Times New Roman"/>
          <w:szCs w:val="24"/>
        </w:rPr>
        <w:t xml:space="preserve">.  In other words, the intention was to require a positive surrender of the </w:t>
      </w:r>
      <w:r w:rsidR="007E34C9">
        <w:rPr>
          <w:rFonts w:cs="Times New Roman"/>
          <w:szCs w:val="24"/>
        </w:rPr>
        <w:t>creator’s</w:t>
      </w:r>
      <w:r w:rsidR="00572153">
        <w:rPr>
          <w:rFonts w:cs="Times New Roman"/>
          <w:szCs w:val="24"/>
        </w:rPr>
        <w:t xml:space="preserve"> rights in situations in which a work was commissioned or ordered.</w:t>
      </w:r>
    </w:p>
    <w:p w14:paraId="4C74EBD5" w14:textId="77777777" w:rsidR="00FB65BC" w:rsidRDefault="00572153" w:rsidP="00E400D1">
      <w:pPr>
        <w:spacing w:line="480" w:lineRule="auto"/>
        <w:ind w:firstLine="720"/>
        <w:rPr>
          <w:rFonts w:cs="Times New Roman"/>
          <w:szCs w:val="24"/>
        </w:rPr>
      </w:pPr>
      <w:r>
        <w:rPr>
          <w:rFonts w:cs="Times New Roman"/>
          <w:szCs w:val="24"/>
        </w:rPr>
        <w:t xml:space="preserve">In 1964, Congress again addressed </w:t>
      </w:r>
      <w:r w:rsidR="00FB65BC">
        <w:rPr>
          <w:rFonts w:cs="Times New Roman"/>
          <w:szCs w:val="24"/>
        </w:rPr>
        <w:t xml:space="preserve">the antiquated 1909 Copyright Act.  Congress held hearings, invited witnesses and recorded the opinions of a plethora of different perspectives.  </w:t>
      </w:r>
      <w:r w:rsidR="00ED44C6" w:rsidRPr="00ED44C6">
        <w:rPr>
          <w:rFonts w:cs="Times New Roman"/>
          <w:i/>
          <w:szCs w:val="24"/>
        </w:rPr>
        <w:t xml:space="preserve">See </w:t>
      </w:r>
      <w:r w:rsidR="00ED44C6" w:rsidRPr="00ED44C6">
        <w:rPr>
          <w:rStyle w:val="ssleftalign"/>
          <w:i/>
        </w:rPr>
        <w:t>H.R. Rep. no. 51-374</w:t>
      </w:r>
      <w:r w:rsidR="00ED44C6">
        <w:rPr>
          <w:rStyle w:val="ssleftalign"/>
        </w:rPr>
        <w:t xml:space="preserve">, 89th Cong., 1st Sess., Part 5, 1964 </w:t>
      </w:r>
      <w:r w:rsidR="00ED44C6">
        <w:rPr>
          <w:rStyle w:val="ssit"/>
        </w:rPr>
        <w:t xml:space="preserve">Revision Bill with Discussion and Comments </w:t>
      </w:r>
      <w:r w:rsidR="00ED44C6">
        <w:rPr>
          <w:rStyle w:val="ssleftalign"/>
        </w:rPr>
        <w:t>(1965 )</w:t>
      </w:r>
      <w:r w:rsidR="00ED44C6" w:rsidRPr="00FB65BC">
        <w:rPr>
          <w:rFonts w:cs="Times New Roman"/>
          <w:szCs w:val="24"/>
        </w:rPr>
        <w:t>.</w:t>
      </w:r>
      <w:r w:rsidR="00ED44C6">
        <w:rPr>
          <w:rFonts w:cs="Times New Roman"/>
          <w:szCs w:val="24"/>
        </w:rPr>
        <w:t xml:space="preserve">  </w:t>
      </w:r>
      <w:r w:rsidR="00FB65BC">
        <w:rPr>
          <w:rFonts w:cs="Times New Roman"/>
          <w:szCs w:val="24"/>
        </w:rPr>
        <w:t xml:space="preserve">Most of those testifying, naturally, framed their opinions and testimony on their ideological or monetary interests; objectivity was not the objective of many participants. </w:t>
      </w:r>
      <w:r w:rsidR="00ED44C6">
        <w:rPr>
          <w:rFonts w:cs="Times New Roman"/>
          <w:i/>
          <w:szCs w:val="24"/>
        </w:rPr>
        <w:t>Id</w:t>
      </w:r>
      <w:r w:rsidR="00ED44C6">
        <w:rPr>
          <w:rFonts w:cs="Times New Roman"/>
          <w:szCs w:val="24"/>
        </w:rPr>
        <w:t xml:space="preserve">. </w:t>
      </w:r>
      <w:r w:rsidR="00FB65BC">
        <w:rPr>
          <w:rFonts w:cs="Times New Roman"/>
          <w:szCs w:val="24"/>
        </w:rPr>
        <w:t xml:space="preserve"> That, however, was not true for all; one participant, Barbara Ringer, as a Civil Servant was not influenced by her own special interest.  </w:t>
      </w:r>
      <w:r w:rsidR="00ED44C6">
        <w:rPr>
          <w:rFonts w:cs="Times New Roman"/>
          <w:szCs w:val="24"/>
        </w:rPr>
        <w:t xml:space="preserve">Ms. Ringer’s was deemed to be “the principal architect of the 1976 Copyright Act,” as well as the Register of Copyrights from 1973–1980 and as such was the Chief Executive charged with implementing Congress’s intent. </w:t>
      </w:r>
      <w:r w:rsidR="00ED44C6">
        <w:rPr>
          <w:rFonts w:cs="Times New Roman"/>
          <w:i/>
          <w:szCs w:val="24"/>
        </w:rPr>
        <w:t>Barbara Ringer, 9</w:t>
      </w:r>
      <w:r w:rsidR="00ED44C6" w:rsidRPr="004B3129">
        <w:rPr>
          <w:rFonts w:cs="Times New Roman"/>
          <w:i/>
          <w:szCs w:val="24"/>
          <w:vertAlign w:val="superscript"/>
        </w:rPr>
        <w:t>th</w:t>
      </w:r>
      <w:r w:rsidR="00ED44C6">
        <w:rPr>
          <w:rFonts w:cs="Times New Roman"/>
          <w:i/>
          <w:szCs w:val="24"/>
        </w:rPr>
        <w:t xml:space="preserve"> Register of Copyrights, Dies, </w:t>
      </w:r>
      <w:r w:rsidR="00ED44C6">
        <w:rPr>
          <w:rFonts w:cs="Times New Roman"/>
          <w:szCs w:val="24"/>
        </w:rPr>
        <w:t xml:space="preserve">“Copyright Notices,” Special Edition, 3 (April 2009). </w:t>
      </w:r>
      <w:r w:rsidR="00FB65BC">
        <w:rPr>
          <w:rFonts w:cs="Times New Roman"/>
          <w:szCs w:val="24"/>
        </w:rPr>
        <w:t>In her testimony,</w:t>
      </w:r>
      <w:r w:rsidR="00ED44C6">
        <w:rPr>
          <w:rFonts w:cs="Times New Roman"/>
          <w:szCs w:val="24"/>
        </w:rPr>
        <w:t xml:space="preserve"> in response to a question concerning as to when the instrument must be signed,</w:t>
      </w:r>
      <w:r w:rsidR="00FB65BC">
        <w:rPr>
          <w:rFonts w:cs="Times New Roman"/>
          <w:szCs w:val="24"/>
        </w:rPr>
        <w:t xml:space="preserve"> she stated “[i]t would not be considered a ‘work made for hire” if the contract were signed later on – after the work was written, for example.” </w:t>
      </w:r>
      <w:r w:rsidR="00DE2590" w:rsidRPr="00ED44C6">
        <w:rPr>
          <w:rStyle w:val="ssleftalign"/>
          <w:i/>
        </w:rPr>
        <w:t>H.R. Rep. no. 51-374</w:t>
      </w:r>
      <w:r w:rsidR="00DE2590">
        <w:rPr>
          <w:rStyle w:val="ssleftalign"/>
        </w:rPr>
        <w:t xml:space="preserve">, 89th Cong., 1st Sess., Part 5, 1964 </w:t>
      </w:r>
      <w:r w:rsidR="00DE2590">
        <w:rPr>
          <w:rStyle w:val="ssit"/>
        </w:rPr>
        <w:t>Revision Bill with Discussion and Comments,</w:t>
      </w:r>
      <w:r w:rsidR="00DE2590">
        <w:rPr>
          <w:rStyle w:val="ssleftalign"/>
        </w:rPr>
        <w:t xml:space="preserve"> at 145 (1965 )</w:t>
      </w:r>
      <w:r w:rsidR="00FB65BC" w:rsidRPr="00FB65BC">
        <w:rPr>
          <w:rFonts w:cs="Times New Roman"/>
          <w:szCs w:val="24"/>
        </w:rPr>
        <w:t>.</w:t>
      </w:r>
    </w:p>
    <w:p w14:paraId="3C883946" w14:textId="77777777" w:rsidR="008038D8" w:rsidRDefault="004B3129" w:rsidP="00E400D1">
      <w:pPr>
        <w:spacing w:line="480" w:lineRule="auto"/>
        <w:ind w:firstLine="720"/>
        <w:rPr>
          <w:rStyle w:val="ssleftalign"/>
        </w:rPr>
      </w:pPr>
      <w:r>
        <w:rPr>
          <w:rFonts w:cs="Times New Roman"/>
          <w:szCs w:val="24"/>
        </w:rPr>
        <w:t xml:space="preserve">In addition to writing the actual statute, according to Mr. Arthur Levine, Ms. Ringer wrote “the committee reports that accompanied it.” </w:t>
      </w:r>
      <w:r w:rsidRPr="004B3129">
        <w:rPr>
          <w:rFonts w:cs="Times New Roman"/>
          <w:i/>
          <w:szCs w:val="24"/>
        </w:rPr>
        <w:t>Memories of Barbara Ringer</w:t>
      </w:r>
      <w:r>
        <w:rPr>
          <w:rFonts w:cs="Times New Roman"/>
          <w:i/>
          <w:szCs w:val="24"/>
        </w:rPr>
        <w:t xml:space="preserve">, </w:t>
      </w:r>
      <w:r>
        <w:rPr>
          <w:rFonts w:cs="Times New Roman"/>
          <w:szCs w:val="24"/>
        </w:rPr>
        <w:t xml:space="preserve">“Copyright Notices,” Special Edition, 4 (April 2009).  </w:t>
      </w:r>
      <w:r w:rsidR="00CB1678">
        <w:rPr>
          <w:rFonts w:cs="Times New Roman"/>
          <w:szCs w:val="24"/>
        </w:rPr>
        <w:t>Generally, Federal Agencies are permitted the benefit of the doubt in the enforcement of those statutes designated by Congress to fall within their purview; as long the agency’s guidance “</w:t>
      </w:r>
      <w:r w:rsidR="00CB1678">
        <w:rPr>
          <w:rStyle w:val="ssleftalign"/>
        </w:rPr>
        <w:t xml:space="preserve">is based on a permissible construction of the statute,” </w:t>
      </w:r>
      <w:r w:rsidR="00CB1678">
        <w:rPr>
          <w:rStyle w:val="ssleftalign"/>
        </w:rPr>
        <w:lastRenderedPageBreak/>
        <w:t xml:space="preserve">the courts have been content to grant the agency leeway to function as they see fit. </w:t>
      </w:r>
      <w:r w:rsidR="00CB1678" w:rsidRPr="00CB1678">
        <w:rPr>
          <w:rStyle w:val="ssleftalign"/>
          <w:i/>
        </w:rPr>
        <w:t>Chevron, U.S.A., Inc. v. NRDC, Inc.</w:t>
      </w:r>
      <w:r w:rsidR="00CB1678" w:rsidRPr="00CB1678">
        <w:rPr>
          <w:rStyle w:val="ssleftalign"/>
        </w:rPr>
        <w:t>, 467 U.S. 837, 843 (1984)</w:t>
      </w:r>
      <w:r w:rsidR="00CB1678">
        <w:rPr>
          <w:rStyle w:val="ssleftalign"/>
        </w:rPr>
        <w:t>.</w:t>
      </w:r>
      <w:r w:rsidR="00ED44C6">
        <w:rPr>
          <w:rStyle w:val="ssleftalign"/>
        </w:rPr>
        <w:t xml:space="preserve">  </w:t>
      </w:r>
    </w:p>
    <w:p w14:paraId="510A05AD" w14:textId="77777777" w:rsidR="000673B6" w:rsidRDefault="00CB1678" w:rsidP="0005207D">
      <w:pPr>
        <w:spacing w:line="480" w:lineRule="auto"/>
        <w:ind w:firstLine="720"/>
        <w:rPr>
          <w:rFonts w:cs="Times New Roman"/>
          <w:szCs w:val="24"/>
        </w:rPr>
      </w:pPr>
      <w:r>
        <w:rPr>
          <w:rStyle w:val="ssleftalign"/>
        </w:rPr>
        <w:t xml:space="preserve">As the head of the agency responsible for administering the Copyright Office, at the time of the statute’s implementation, as well as individual who drafted it, has definitively stated that the signing must precede the creation of the work product, the Legislative History shows </w:t>
      </w:r>
      <w:r w:rsidR="003A4CBF">
        <w:rPr>
          <w:rStyle w:val="ssleftalign"/>
        </w:rPr>
        <w:t>that “Anticipatory Repudiation” cannot be a work-made-for-hire because the writing and delivery preceded the signing of the written instrument.</w:t>
      </w:r>
      <w:r w:rsidR="00ED44C6">
        <w:rPr>
          <w:rStyle w:val="ssleftalign"/>
        </w:rPr>
        <w:t xml:space="preserve">  </w:t>
      </w:r>
      <w:r w:rsidR="00391C67">
        <w:rPr>
          <w:rStyle w:val="ssleftalign"/>
        </w:rPr>
        <w:t>Additionally, the early attempts by Congress to specifically address the differences between employees and contractors, engaged to specifically create works-made-for-hire, demonstrate that Congress long intended to preserve the rights of non-employees, unless they emphatically surrendered their rights prior to creating the work.  The rights of Defendant Lime were the rights that the Legislative History shows Congress sought to protect.  The Legislative History supports the contention that “Anticipatory Repudiation” cannot be deemed a work-made-for-hire because Congress intended to protect Defendant Lime’s ownership rights by requiring that a signed written instrument precede its creation.</w:t>
      </w:r>
    </w:p>
    <w:p w14:paraId="0888901F" w14:textId="77777777" w:rsidR="0005207D" w:rsidRDefault="0005207D" w:rsidP="0005207D">
      <w:pPr>
        <w:pStyle w:val="ListParagraph"/>
        <w:numPr>
          <w:ilvl w:val="0"/>
          <w:numId w:val="2"/>
        </w:numPr>
        <w:spacing w:line="240" w:lineRule="auto"/>
        <w:rPr>
          <w:rFonts w:ascii="Times New Roman" w:hAnsi="Times New Roman" w:cs="Times New Roman"/>
          <w:b/>
          <w:sz w:val="24"/>
          <w:szCs w:val="24"/>
        </w:rPr>
      </w:pPr>
      <w:r>
        <w:rPr>
          <w:rFonts w:ascii="Times New Roman" w:hAnsi="Times New Roman" w:cs="Times New Roman"/>
          <w:b/>
          <w:sz w:val="24"/>
          <w:szCs w:val="24"/>
        </w:rPr>
        <w:t>Relevant Case Law Supports a Determination That Written Instruments Must Be Created and Signed Prior to the Creation and Delivery of the Commissioned Work</w:t>
      </w:r>
    </w:p>
    <w:p w14:paraId="7A0DB9AB" w14:textId="77777777" w:rsidR="0005207D" w:rsidRDefault="0005207D" w:rsidP="0005207D">
      <w:pPr>
        <w:pStyle w:val="ListParagraph"/>
        <w:spacing w:line="240" w:lineRule="auto"/>
        <w:ind w:left="1080"/>
        <w:rPr>
          <w:rFonts w:ascii="Times New Roman" w:hAnsi="Times New Roman" w:cs="Times New Roman"/>
          <w:b/>
          <w:sz w:val="24"/>
          <w:szCs w:val="24"/>
        </w:rPr>
      </w:pPr>
    </w:p>
    <w:p w14:paraId="7B98CF1A" w14:textId="77777777" w:rsidR="0005207D" w:rsidRDefault="004D450F" w:rsidP="0005207D">
      <w:pPr>
        <w:spacing w:line="480" w:lineRule="auto"/>
        <w:ind w:firstLine="720"/>
        <w:rPr>
          <w:rFonts w:cs="Times New Roman"/>
          <w:szCs w:val="24"/>
        </w:rPr>
      </w:pPr>
      <w:r>
        <w:rPr>
          <w:rFonts w:cs="Times New Roman"/>
          <w:szCs w:val="24"/>
        </w:rPr>
        <w:t xml:space="preserve">There </w:t>
      </w:r>
      <w:r w:rsidR="00391C67">
        <w:rPr>
          <w:rFonts w:cs="Times New Roman"/>
          <w:szCs w:val="24"/>
        </w:rPr>
        <w:t>is a</w:t>
      </w:r>
      <w:r>
        <w:rPr>
          <w:rFonts w:cs="Times New Roman"/>
          <w:szCs w:val="24"/>
        </w:rPr>
        <w:t xml:space="preserve"> cir</w:t>
      </w:r>
      <w:r w:rsidR="00391C67">
        <w:rPr>
          <w:rFonts w:cs="Times New Roman"/>
          <w:szCs w:val="24"/>
        </w:rPr>
        <w:t>cuit split concerning timing of the signing of a written instrument</w:t>
      </w:r>
      <w:r>
        <w:rPr>
          <w:rFonts w:cs="Times New Roman"/>
          <w:szCs w:val="24"/>
        </w:rPr>
        <w:t xml:space="preserve"> that has emphatically divided the Second and Seventh Circuits, which the Supreme Court has not </w:t>
      </w:r>
      <w:r w:rsidR="00391C67">
        <w:rPr>
          <w:rFonts w:cs="Times New Roman"/>
          <w:szCs w:val="24"/>
        </w:rPr>
        <w:t xml:space="preserve">yet </w:t>
      </w:r>
      <w:r>
        <w:rPr>
          <w:rFonts w:cs="Times New Roman"/>
          <w:szCs w:val="24"/>
        </w:rPr>
        <w:t>address</w:t>
      </w:r>
      <w:r w:rsidR="00391C67">
        <w:rPr>
          <w:rFonts w:cs="Times New Roman"/>
          <w:szCs w:val="24"/>
        </w:rPr>
        <w:t>ed</w:t>
      </w:r>
      <w:r>
        <w:rPr>
          <w:rFonts w:cs="Times New Roman"/>
          <w:szCs w:val="24"/>
        </w:rPr>
        <w:t xml:space="preserve">.  The earlier decision is that of the Seventh Circuit, </w:t>
      </w:r>
      <w:r w:rsidR="00C42E25">
        <w:rPr>
          <w:rFonts w:cs="Times New Roman"/>
          <w:szCs w:val="24"/>
        </w:rPr>
        <w:t>in which the court affirmed a district court ruling that there was no copyright infringement.</w:t>
      </w:r>
      <w:r w:rsidR="00B97472">
        <w:rPr>
          <w:rFonts w:cs="Times New Roman"/>
          <w:szCs w:val="24"/>
        </w:rPr>
        <w:t xml:space="preserve"> </w:t>
      </w:r>
      <w:r w:rsidR="00B97472" w:rsidRPr="00C42E25">
        <w:rPr>
          <w:rFonts w:cs="Times New Roman"/>
          <w:i/>
          <w:szCs w:val="24"/>
        </w:rPr>
        <w:t>Schiller &amp; Schmidt v. Nordisco Corp.</w:t>
      </w:r>
      <w:r w:rsidR="00B97472" w:rsidRPr="00C42E25">
        <w:rPr>
          <w:rFonts w:cs="Times New Roman"/>
          <w:szCs w:val="24"/>
        </w:rPr>
        <w:t>, 969 F.2d 410, 41</w:t>
      </w:r>
      <w:r w:rsidR="00B97472">
        <w:rPr>
          <w:rFonts w:cs="Times New Roman"/>
          <w:szCs w:val="24"/>
        </w:rPr>
        <w:t>6</w:t>
      </w:r>
      <w:r w:rsidR="00B97472" w:rsidRPr="00C42E25">
        <w:rPr>
          <w:rFonts w:cs="Times New Roman"/>
          <w:szCs w:val="24"/>
        </w:rPr>
        <w:t xml:space="preserve"> (7th Cir. 1992)</w:t>
      </w:r>
      <w:r w:rsidR="00B97472">
        <w:rPr>
          <w:rFonts w:cs="Times New Roman"/>
          <w:szCs w:val="24"/>
        </w:rPr>
        <w:t>.</w:t>
      </w:r>
      <w:r w:rsidR="00C42E25">
        <w:rPr>
          <w:rFonts w:cs="Times New Roman"/>
          <w:szCs w:val="24"/>
        </w:rPr>
        <w:t xml:space="preserve">  In the opinion, </w:t>
      </w:r>
      <w:r w:rsidR="00391C67">
        <w:rPr>
          <w:rFonts w:cs="Times New Roman"/>
          <w:szCs w:val="24"/>
        </w:rPr>
        <w:t xml:space="preserve">Judge </w:t>
      </w:r>
      <w:r w:rsidR="00C42E25">
        <w:rPr>
          <w:rFonts w:cs="Times New Roman"/>
          <w:szCs w:val="24"/>
        </w:rPr>
        <w:t xml:space="preserve">Posner wrote emphatically that “[t]he writing must precede the creation of the property in order to serve its purpose of identifying the (noncreator) owner unequivocally here.” </w:t>
      </w:r>
      <w:r w:rsidR="00B97472">
        <w:rPr>
          <w:rFonts w:cs="Times New Roman"/>
          <w:i/>
          <w:szCs w:val="24"/>
        </w:rPr>
        <w:t>Id</w:t>
      </w:r>
      <w:r w:rsidR="00C42E25" w:rsidRPr="00C42E25">
        <w:rPr>
          <w:rFonts w:cs="Times New Roman"/>
          <w:szCs w:val="24"/>
        </w:rPr>
        <w:t>.</w:t>
      </w:r>
      <w:r w:rsidR="00B97472">
        <w:rPr>
          <w:rFonts w:cs="Times New Roman"/>
          <w:szCs w:val="24"/>
        </w:rPr>
        <w:t xml:space="preserve"> at</w:t>
      </w:r>
      <w:r w:rsidR="00C42E25" w:rsidRPr="00C42E25">
        <w:rPr>
          <w:rFonts w:cs="Times New Roman"/>
          <w:szCs w:val="24"/>
        </w:rPr>
        <w:t xml:space="preserve"> 413</w:t>
      </w:r>
      <w:r w:rsidR="00C42E25">
        <w:rPr>
          <w:rFonts w:cs="Times New Roman"/>
          <w:szCs w:val="24"/>
        </w:rPr>
        <w:t xml:space="preserve">.  </w:t>
      </w:r>
      <w:r w:rsidR="00B97472">
        <w:rPr>
          <w:rFonts w:cs="Times New Roman"/>
          <w:szCs w:val="24"/>
        </w:rPr>
        <w:t xml:space="preserve">Judge </w:t>
      </w:r>
      <w:r w:rsidR="00BD35CA">
        <w:rPr>
          <w:rFonts w:cs="Times New Roman"/>
          <w:szCs w:val="24"/>
        </w:rPr>
        <w:t xml:space="preserve">Posner offered an </w:t>
      </w:r>
      <w:r w:rsidR="00BD35CA">
        <w:rPr>
          <w:rFonts w:cs="Times New Roman"/>
          <w:szCs w:val="24"/>
        </w:rPr>
        <w:lastRenderedPageBreak/>
        <w:t xml:space="preserve">array of </w:t>
      </w:r>
      <w:r w:rsidR="00B97472">
        <w:rPr>
          <w:rFonts w:cs="Times New Roman"/>
          <w:szCs w:val="24"/>
        </w:rPr>
        <w:t>diverse</w:t>
      </w:r>
      <w:r w:rsidR="00BD35CA">
        <w:rPr>
          <w:rFonts w:cs="Times New Roman"/>
          <w:szCs w:val="24"/>
        </w:rPr>
        <w:t xml:space="preserve"> rationale to </w:t>
      </w:r>
      <w:r w:rsidR="00B97472">
        <w:rPr>
          <w:rFonts w:cs="Times New Roman"/>
          <w:szCs w:val="24"/>
        </w:rPr>
        <w:t>support the court’s holding.  The court</w:t>
      </w:r>
      <w:r w:rsidR="00BD35CA">
        <w:rPr>
          <w:rFonts w:cs="Times New Roman"/>
          <w:szCs w:val="24"/>
        </w:rPr>
        <w:t xml:space="preserve"> alludes to cases that offer up the similarity of the concept to a statute of frauds. </w:t>
      </w:r>
      <w:r w:rsidR="00B97472" w:rsidRPr="00B97472">
        <w:rPr>
          <w:rFonts w:cs="Times New Roman"/>
          <w:i/>
          <w:szCs w:val="24"/>
        </w:rPr>
        <w:t>See</w:t>
      </w:r>
      <w:r w:rsidR="00B97472">
        <w:rPr>
          <w:rFonts w:cs="Times New Roman"/>
          <w:i/>
          <w:szCs w:val="24"/>
        </w:rPr>
        <w:t xml:space="preserve"> </w:t>
      </w:r>
      <w:r w:rsidR="00BD35CA">
        <w:rPr>
          <w:rFonts w:cs="Times New Roman"/>
          <w:i/>
          <w:szCs w:val="24"/>
        </w:rPr>
        <w:t>Id.</w:t>
      </w:r>
      <w:r w:rsidR="00BD35CA">
        <w:rPr>
          <w:rFonts w:cs="Times New Roman"/>
          <w:szCs w:val="24"/>
        </w:rPr>
        <w:t xml:space="preserve"> at 412 </w:t>
      </w:r>
      <w:r w:rsidR="00B97472">
        <w:rPr>
          <w:rFonts w:cs="Times New Roman"/>
          <w:szCs w:val="24"/>
        </w:rPr>
        <w:t>(</w:t>
      </w:r>
      <w:r w:rsidR="00BD35CA" w:rsidRPr="00B97472">
        <w:rPr>
          <w:rFonts w:cs="Times New Roman"/>
          <w:i/>
          <w:szCs w:val="24"/>
        </w:rPr>
        <w:t>citing</w:t>
      </w:r>
      <w:r w:rsidR="00BD35CA">
        <w:rPr>
          <w:rFonts w:cs="Times New Roman"/>
          <w:szCs w:val="24"/>
        </w:rPr>
        <w:t xml:space="preserve"> </w:t>
      </w:r>
      <w:r w:rsidR="00BD35CA" w:rsidRPr="00BD35CA">
        <w:rPr>
          <w:rFonts w:cs="Times New Roman"/>
          <w:i/>
          <w:szCs w:val="24"/>
        </w:rPr>
        <w:t>Dumas v. Gommerman</w:t>
      </w:r>
      <w:r w:rsidR="00BD35CA" w:rsidRPr="00BD35CA">
        <w:rPr>
          <w:rFonts w:cs="Times New Roman"/>
          <w:szCs w:val="24"/>
        </w:rPr>
        <w:t xml:space="preserve">, 865 F.2d 1093, 1101 (9th Cir. 1989) and </w:t>
      </w:r>
      <w:r w:rsidR="00BD35CA" w:rsidRPr="00BD35CA">
        <w:rPr>
          <w:rFonts w:cs="Times New Roman"/>
          <w:i/>
          <w:szCs w:val="24"/>
        </w:rPr>
        <w:t>Easter Seal Society for Crippled Children and Adults of Louisiana, Inc. v. Playboy Enterprises, Inc.</w:t>
      </w:r>
      <w:r w:rsidR="00BD35CA" w:rsidRPr="00BD35CA">
        <w:rPr>
          <w:rFonts w:cs="Times New Roman"/>
          <w:szCs w:val="24"/>
        </w:rPr>
        <w:t>, 815 F.2d 323, 328 n. 8 (5th Cir. 1987)</w:t>
      </w:r>
      <w:r w:rsidR="00B97472">
        <w:rPr>
          <w:rFonts w:cs="Times New Roman"/>
          <w:szCs w:val="24"/>
        </w:rPr>
        <w:t>)</w:t>
      </w:r>
      <w:r w:rsidR="00BD35CA" w:rsidRPr="00BD35CA">
        <w:rPr>
          <w:rFonts w:cs="Times New Roman"/>
          <w:szCs w:val="24"/>
        </w:rPr>
        <w:t>.</w:t>
      </w:r>
    </w:p>
    <w:p w14:paraId="304E0D8F" w14:textId="77777777" w:rsidR="00BD35CA" w:rsidRDefault="00BD35CA" w:rsidP="0005207D">
      <w:pPr>
        <w:spacing w:line="480" w:lineRule="auto"/>
        <w:ind w:firstLine="720"/>
        <w:rPr>
          <w:rStyle w:val="ssrfcpassagedeactivated"/>
        </w:rPr>
      </w:pPr>
      <w:r w:rsidRPr="00327F3F">
        <w:rPr>
          <w:rFonts w:cs="Times New Roman"/>
          <w:szCs w:val="24"/>
        </w:rPr>
        <w:t>The possible s</w:t>
      </w:r>
      <w:r w:rsidR="00244F4C">
        <w:rPr>
          <w:rFonts w:cs="Times New Roman"/>
          <w:szCs w:val="24"/>
        </w:rPr>
        <w:t>tatute of frauds rationale is</w:t>
      </w:r>
      <w:r w:rsidRPr="00327F3F">
        <w:rPr>
          <w:rFonts w:cs="Times New Roman"/>
          <w:szCs w:val="24"/>
        </w:rPr>
        <w:t xml:space="preserve"> especially apt given the significant longevity, oft</w:t>
      </w:r>
      <w:r w:rsidR="00244F4C">
        <w:rPr>
          <w:rFonts w:cs="Times New Roman"/>
          <w:szCs w:val="24"/>
        </w:rPr>
        <w:t>en generational, of a copyright.</w:t>
      </w:r>
      <w:r w:rsidRPr="00327F3F">
        <w:rPr>
          <w:rFonts w:cs="Times New Roman"/>
          <w:szCs w:val="24"/>
        </w:rPr>
        <w:t xml:space="preserve"> </w:t>
      </w:r>
      <w:r w:rsidR="00244F4C">
        <w:rPr>
          <w:rFonts w:cs="Times New Roman"/>
          <w:szCs w:val="24"/>
        </w:rPr>
        <w:t xml:space="preserve"> Policy considerations </w:t>
      </w:r>
      <w:r w:rsidRPr="00327F3F">
        <w:rPr>
          <w:rFonts w:cs="Times New Roman"/>
          <w:szCs w:val="24"/>
        </w:rPr>
        <w:t xml:space="preserve">might </w:t>
      </w:r>
      <w:r w:rsidR="00244F4C">
        <w:rPr>
          <w:rFonts w:cs="Times New Roman"/>
          <w:szCs w:val="24"/>
        </w:rPr>
        <w:t>benefit from</w:t>
      </w:r>
      <w:r w:rsidRPr="00327F3F">
        <w:rPr>
          <w:rFonts w:cs="Times New Roman"/>
          <w:szCs w:val="24"/>
        </w:rPr>
        <w:t xml:space="preserve"> a holding that would genera</w:t>
      </w:r>
      <w:r w:rsidR="00244F4C">
        <w:rPr>
          <w:rFonts w:cs="Times New Roman"/>
          <w:szCs w:val="24"/>
        </w:rPr>
        <w:t xml:space="preserve">lly restrain </w:t>
      </w:r>
      <w:r w:rsidR="00327F3F" w:rsidRPr="00327F3F">
        <w:rPr>
          <w:rFonts w:cs="Times New Roman"/>
          <w:szCs w:val="24"/>
        </w:rPr>
        <w:t>a flood of</w:t>
      </w:r>
      <w:r w:rsidR="00244F4C">
        <w:rPr>
          <w:rFonts w:cs="Times New Roman"/>
          <w:szCs w:val="24"/>
        </w:rPr>
        <w:t xml:space="preserve"> copyright</w:t>
      </w:r>
      <w:r w:rsidR="00327F3F" w:rsidRPr="00327F3F">
        <w:rPr>
          <w:rFonts w:cs="Times New Roman"/>
          <w:szCs w:val="24"/>
        </w:rPr>
        <w:t xml:space="preserve"> </w:t>
      </w:r>
      <w:r w:rsidRPr="00327F3F">
        <w:rPr>
          <w:rFonts w:cs="Times New Roman"/>
          <w:szCs w:val="24"/>
        </w:rPr>
        <w:t>litigation</w:t>
      </w:r>
      <w:r w:rsidR="00244F4C">
        <w:rPr>
          <w:rFonts w:cs="Times New Roman"/>
          <w:szCs w:val="24"/>
        </w:rPr>
        <w:t xml:space="preserve"> that insisted</w:t>
      </w:r>
      <w:r w:rsidRPr="00327F3F">
        <w:rPr>
          <w:rFonts w:cs="Times New Roman"/>
          <w:szCs w:val="24"/>
        </w:rPr>
        <w:t xml:space="preserve"> upon the </w:t>
      </w:r>
      <w:r w:rsidR="00244F4C">
        <w:rPr>
          <w:rFonts w:cs="Times New Roman"/>
          <w:szCs w:val="24"/>
        </w:rPr>
        <w:t>consideration of parol evidence</w:t>
      </w:r>
      <w:r w:rsidR="00327F3F" w:rsidRPr="00327F3F">
        <w:rPr>
          <w:rFonts w:cs="Times New Roman"/>
          <w:szCs w:val="24"/>
        </w:rPr>
        <w:t xml:space="preserve">.  </w:t>
      </w:r>
      <w:r w:rsidR="00244F4C">
        <w:rPr>
          <w:rFonts w:cs="Times New Roman"/>
          <w:szCs w:val="24"/>
        </w:rPr>
        <w:t xml:space="preserve">These </w:t>
      </w:r>
      <w:r w:rsidR="00327F3F" w:rsidRPr="00327F3F">
        <w:rPr>
          <w:rFonts w:cs="Times New Roman"/>
          <w:szCs w:val="24"/>
        </w:rPr>
        <w:t xml:space="preserve">policy </w:t>
      </w:r>
      <w:r w:rsidR="00244F4C">
        <w:rPr>
          <w:rFonts w:cs="Times New Roman"/>
          <w:szCs w:val="24"/>
        </w:rPr>
        <w:t xml:space="preserve">consideration </w:t>
      </w:r>
      <w:r w:rsidR="00327F3F" w:rsidRPr="00327F3F">
        <w:rPr>
          <w:rFonts w:cs="Times New Roman"/>
          <w:szCs w:val="24"/>
        </w:rPr>
        <w:t xml:space="preserve">also drove </w:t>
      </w:r>
      <w:r w:rsidR="00244F4C">
        <w:rPr>
          <w:rFonts w:cs="Times New Roman"/>
          <w:szCs w:val="24"/>
        </w:rPr>
        <w:t xml:space="preserve">Judge </w:t>
      </w:r>
      <w:r w:rsidR="00327F3F" w:rsidRPr="00327F3F">
        <w:rPr>
          <w:rFonts w:cs="Times New Roman"/>
          <w:szCs w:val="24"/>
        </w:rPr>
        <w:t xml:space="preserve">Posner’s holding </w:t>
      </w:r>
      <w:r w:rsidR="00244F4C">
        <w:rPr>
          <w:rFonts w:cs="Times New Roman"/>
          <w:szCs w:val="24"/>
        </w:rPr>
        <w:t>which</w:t>
      </w:r>
      <w:r w:rsidR="00327F3F" w:rsidRPr="00327F3F">
        <w:rPr>
          <w:rFonts w:cs="Times New Roman"/>
          <w:szCs w:val="24"/>
        </w:rPr>
        <w:t xml:space="preserve"> stated that “the signed-statement requirement . . . </w:t>
      </w:r>
      <w:r w:rsidR="00327F3F" w:rsidRPr="00327F3F">
        <w:rPr>
          <w:rStyle w:val="ssrfcpassagedeactivated"/>
        </w:rPr>
        <w:t xml:space="preserve">make[s] the ownership of property rights in intellectual property clear and definite, so that such property will be readily marketable.” </w:t>
      </w:r>
      <w:r w:rsidR="00327F3F" w:rsidRPr="00327F3F">
        <w:rPr>
          <w:rStyle w:val="ssrfcpassagedeactivated"/>
          <w:i/>
        </w:rPr>
        <w:t>Id</w:t>
      </w:r>
      <w:r w:rsidR="00327F3F" w:rsidRPr="00327F3F">
        <w:rPr>
          <w:rStyle w:val="ssrfcpassagedeactivated"/>
        </w:rPr>
        <w:t xml:space="preserve">. </w:t>
      </w:r>
      <w:r w:rsidR="00244F4C">
        <w:rPr>
          <w:rStyle w:val="ssrfcpassagedeactivated"/>
        </w:rPr>
        <w:t>(</w:t>
      </w:r>
      <w:r w:rsidR="00327F3F" w:rsidRPr="00244F4C">
        <w:rPr>
          <w:rStyle w:val="ssrfcpassagedeactivated"/>
          <w:i/>
        </w:rPr>
        <w:t xml:space="preserve">citing </w:t>
      </w:r>
      <w:r w:rsidR="00327F3F" w:rsidRPr="00327F3F">
        <w:rPr>
          <w:rStyle w:val="ssit"/>
          <w:i/>
        </w:rPr>
        <w:t>Community for Creative Non-Violence v. Reid</w:t>
      </w:r>
      <w:r w:rsidR="00327F3F" w:rsidRPr="00327F3F">
        <w:rPr>
          <w:rStyle w:val="ssit"/>
        </w:rPr>
        <w:t xml:space="preserve">, </w:t>
      </w:r>
      <w:r w:rsidR="00327F3F" w:rsidRPr="00327F3F">
        <w:rPr>
          <w:rStyle w:val="ssrfcpassagedeactivated"/>
        </w:rPr>
        <w:t>490 U.S.</w:t>
      </w:r>
      <w:r w:rsidR="00327F3F">
        <w:rPr>
          <w:rStyle w:val="ssrfcpassagedeactivated"/>
        </w:rPr>
        <w:t>730,</w:t>
      </w:r>
      <w:r w:rsidR="00327F3F" w:rsidRPr="00327F3F">
        <w:rPr>
          <w:rStyle w:val="ssrfcpassagedeactivated"/>
        </w:rPr>
        <w:t xml:space="preserve"> 750</w:t>
      </w:r>
      <w:r w:rsidR="00327F3F">
        <w:rPr>
          <w:rStyle w:val="ssrfcpassagedeactivated"/>
        </w:rPr>
        <w:t xml:space="preserve"> (1989)</w:t>
      </w:r>
      <w:r w:rsidR="00244F4C">
        <w:rPr>
          <w:rStyle w:val="ssrfcpassagedeactivated"/>
        </w:rPr>
        <w:t>)</w:t>
      </w:r>
      <w:r w:rsidR="00327F3F">
        <w:rPr>
          <w:rStyle w:val="ssrfcpassagedeactivated"/>
        </w:rPr>
        <w:t>.   The argument makes sense because if the assignation of rights under a work-made-for-hire s</w:t>
      </w:r>
      <w:r w:rsidR="003A5B2A">
        <w:rPr>
          <w:rStyle w:val="ssrfcpassagedeactivated"/>
        </w:rPr>
        <w:t>ituation</w:t>
      </w:r>
      <w:r w:rsidR="00327F3F">
        <w:rPr>
          <w:rStyle w:val="ssrfcpassagedeactivated"/>
        </w:rPr>
        <w:t xml:space="preserve"> did not precede the creation of the product, the true ownership of the copyright could remain uncertain and impede the value of the product for all concerned.</w:t>
      </w:r>
      <w:r w:rsidR="003A5B2A">
        <w:rPr>
          <w:rStyle w:val="ssrfcpassagedeactivated"/>
        </w:rPr>
        <w:t xml:space="preserve">  If the bright line rule of before is unacceptable, than where shall that line be drawn.</w:t>
      </w:r>
    </w:p>
    <w:p w14:paraId="3D6AFD31" w14:textId="77777777" w:rsidR="003A5B2A" w:rsidRDefault="003A5B2A" w:rsidP="0005207D">
      <w:pPr>
        <w:spacing w:line="480" w:lineRule="auto"/>
        <w:ind w:firstLine="720"/>
        <w:rPr>
          <w:rStyle w:val="ssleftalign"/>
        </w:rPr>
      </w:pPr>
      <w:r>
        <w:rPr>
          <w:rStyle w:val="ssrfcpassagedeactivated"/>
        </w:rPr>
        <w:t>The Second Circuit came to an entirely different conclusion.  The court addressed the issues raised by</w:t>
      </w:r>
      <w:r w:rsidR="00FC0DC7">
        <w:rPr>
          <w:rStyle w:val="ssrfcpassagedeactivated"/>
        </w:rPr>
        <w:t xml:space="preserve"> Judge</w:t>
      </w:r>
      <w:r>
        <w:rPr>
          <w:rStyle w:val="ssrfcpassagedeactivated"/>
        </w:rPr>
        <w:t xml:space="preserve"> Posner and </w:t>
      </w:r>
      <w:r w:rsidR="00FC0DC7">
        <w:rPr>
          <w:rStyle w:val="ssrfcpassagedeactivated"/>
        </w:rPr>
        <w:t xml:space="preserve">stated </w:t>
      </w:r>
      <w:r w:rsidR="000C42D4">
        <w:rPr>
          <w:rStyle w:val="ssrfcpassagedeactivated"/>
        </w:rPr>
        <w:t xml:space="preserve">that “if [the parties] could enter into a work-for-hire agreement years after a work was created” it would seem to run counter to an acknowledged Congressional goal of “predictability.” </w:t>
      </w:r>
      <w:r w:rsidR="000C42D4" w:rsidRPr="000C42D4">
        <w:rPr>
          <w:rStyle w:val="ssrfcpassagedeactivated"/>
          <w:i/>
        </w:rPr>
        <w:t>Playboy Enters. v. Dumas</w:t>
      </w:r>
      <w:r w:rsidR="000C42D4" w:rsidRPr="000C42D4">
        <w:rPr>
          <w:rStyle w:val="ssrfcpassagedeactivated"/>
        </w:rPr>
        <w:t xml:space="preserve">, 53 F.3d 549, </w:t>
      </w:r>
      <w:r w:rsidR="00DE2590">
        <w:rPr>
          <w:rStyle w:val="ssrfcpassagedeactivated"/>
        </w:rPr>
        <w:t>55</w:t>
      </w:r>
      <w:r w:rsidR="000C42D4">
        <w:rPr>
          <w:rStyle w:val="ssrfcpassagedeactivated"/>
        </w:rPr>
        <w:t xml:space="preserve">9 </w:t>
      </w:r>
      <w:r w:rsidR="000C42D4" w:rsidRPr="000C42D4">
        <w:rPr>
          <w:rStyle w:val="ssrfcpassagedeactivated"/>
        </w:rPr>
        <w:t>(2d Cir. 1995)</w:t>
      </w:r>
      <w:r w:rsidR="000C42D4">
        <w:rPr>
          <w:rStyle w:val="ssrfcpassagedeactivated"/>
        </w:rPr>
        <w:t>.  Perhaps because the</w:t>
      </w:r>
      <w:r w:rsidR="00FC0DC7">
        <w:rPr>
          <w:rStyle w:val="ssrfcpassagedeactivated"/>
        </w:rPr>
        <w:t xml:space="preserve"> court</w:t>
      </w:r>
      <w:r w:rsidR="000C42D4">
        <w:rPr>
          <w:rStyle w:val="ssrfcpassagedeactivated"/>
        </w:rPr>
        <w:t xml:space="preserve"> did not consider the similarity between</w:t>
      </w:r>
      <w:r w:rsidR="00DE2590">
        <w:rPr>
          <w:rStyle w:val="ssrfcpassagedeactivated"/>
        </w:rPr>
        <w:t xml:space="preserve"> a writing requirement for subjects susceptible to</w:t>
      </w:r>
      <w:r w:rsidR="000C42D4">
        <w:rPr>
          <w:rStyle w:val="ssrfcpassagedeactivated"/>
        </w:rPr>
        <w:t xml:space="preserve"> a</w:t>
      </w:r>
      <w:r w:rsidR="00DE2590">
        <w:rPr>
          <w:rStyle w:val="ssrfcpassagedeactivated"/>
        </w:rPr>
        <w:t xml:space="preserve"> statute of frauds and that of one</w:t>
      </w:r>
      <w:r w:rsidR="000C42D4">
        <w:rPr>
          <w:rStyle w:val="ssrfcpassagedeactivated"/>
        </w:rPr>
        <w:t xml:space="preserve"> for a work-made-for hire agreement, the</w:t>
      </w:r>
      <w:r w:rsidR="00FC0DC7">
        <w:rPr>
          <w:rStyle w:val="ssrfcpassagedeactivated"/>
        </w:rPr>
        <w:t xml:space="preserve"> court</w:t>
      </w:r>
      <w:r w:rsidR="000C42D4">
        <w:rPr>
          <w:rStyle w:val="ssrfcpassagedeactivated"/>
        </w:rPr>
        <w:t xml:space="preserve"> dismissed the necessity of </w:t>
      </w:r>
      <w:r w:rsidR="00DE2590">
        <w:rPr>
          <w:rStyle w:val="ssrfcpassagedeactivated"/>
        </w:rPr>
        <w:t>requiring that the agreement be “memorialized” in writing prior to the “creation of the work</w:t>
      </w:r>
      <w:r w:rsidR="00FC0DC7">
        <w:rPr>
          <w:rStyle w:val="ssrfcpassagedeactivated"/>
        </w:rPr>
        <w:t>.</w:t>
      </w:r>
      <w:r w:rsidR="00DE2590">
        <w:rPr>
          <w:rStyle w:val="ssrfcpassagedeactivated"/>
        </w:rPr>
        <w:t>”</w:t>
      </w:r>
      <w:r w:rsidR="00FC0DC7">
        <w:rPr>
          <w:rStyle w:val="ssrfcpassagedeactivated"/>
        </w:rPr>
        <w:t xml:space="preserve"> </w:t>
      </w:r>
      <w:r w:rsidR="00FC0DC7">
        <w:rPr>
          <w:rStyle w:val="ssrfcpassagedeactivated"/>
          <w:i/>
        </w:rPr>
        <w:t>See</w:t>
      </w:r>
      <w:r w:rsidR="00DE2590">
        <w:rPr>
          <w:rStyle w:val="ssrfcpassagedeactivated"/>
        </w:rPr>
        <w:t xml:space="preserve"> </w:t>
      </w:r>
      <w:r w:rsidR="00DE2590">
        <w:rPr>
          <w:rStyle w:val="ssrfcpassagedeactivated"/>
          <w:i/>
        </w:rPr>
        <w:t>Id</w:t>
      </w:r>
      <w:r w:rsidR="00DE2590">
        <w:rPr>
          <w:rStyle w:val="ssrfcpassagedeactivated"/>
        </w:rPr>
        <w:t>.</w:t>
      </w:r>
      <w:r w:rsidR="00FC0DC7">
        <w:rPr>
          <w:rStyle w:val="ssrfcpassagedeactivated"/>
        </w:rPr>
        <w:t xml:space="preserve"> (holding that they were unconvinced by the earlier </w:t>
      </w:r>
      <w:r w:rsidR="00FC0DC7">
        <w:rPr>
          <w:rStyle w:val="ssrfcpassagedeactivated"/>
        </w:rPr>
        <w:lastRenderedPageBreak/>
        <w:t>decision).</w:t>
      </w:r>
      <w:r w:rsidR="00DE2590">
        <w:rPr>
          <w:rStyle w:val="ssrfcpassagedeactivated"/>
        </w:rPr>
        <w:t xml:space="preserve">  </w:t>
      </w:r>
      <w:r w:rsidR="00FC0DC7">
        <w:rPr>
          <w:rStyle w:val="ssrfcpassagedeactivated"/>
        </w:rPr>
        <w:t>A</w:t>
      </w:r>
      <w:r w:rsidR="00DC2FD7">
        <w:rPr>
          <w:rStyle w:val="ssrfcpassagedeactivated"/>
        </w:rPr>
        <w:t>lthough the court clearly noted that the District Court’s decision was influenced by M</w:t>
      </w:r>
      <w:r w:rsidR="00FC0DC7">
        <w:rPr>
          <w:rStyle w:val="ssrfcpassagedeactivated"/>
        </w:rPr>
        <w:t>s. Ringer’s 1964 testimony, it</w:t>
      </w:r>
      <w:r w:rsidR="00DC2FD7">
        <w:rPr>
          <w:rStyle w:val="ssrfcpassagedeactivated"/>
        </w:rPr>
        <w:t xml:space="preserve"> neither countered it nor emphatically dismissed it; they mentioned it and said nothing more. </w:t>
      </w:r>
      <w:r w:rsidR="00DC2FD7">
        <w:rPr>
          <w:rStyle w:val="ssrfcpassagedeactivated"/>
          <w:i/>
        </w:rPr>
        <w:t>Id</w:t>
      </w:r>
      <w:r w:rsidR="00DC2FD7">
        <w:rPr>
          <w:rStyle w:val="ssrfcpassagedeactivated"/>
        </w:rPr>
        <w:t xml:space="preserve">. at 558.  Rather, the court </w:t>
      </w:r>
      <w:r w:rsidR="00FC0DC7">
        <w:rPr>
          <w:rStyle w:val="ssrfcpassagedeactivated"/>
        </w:rPr>
        <w:t>based their holding</w:t>
      </w:r>
      <w:r w:rsidR="009E0F7C">
        <w:rPr>
          <w:rStyle w:val="ssrfcpassagedeactivated"/>
        </w:rPr>
        <w:t xml:space="preserve"> on a scholarly opinion</w:t>
      </w:r>
      <w:r w:rsidR="00DC2FD7">
        <w:rPr>
          <w:rStyle w:val="ssrfcpassagedeactivated"/>
        </w:rPr>
        <w:t xml:space="preserve">, written after </w:t>
      </w:r>
      <w:r w:rsidR="00DC2FD7" w:rsidRPr="00DC2FD7">
        <w:rPr>
          <w:rStyle w:val="ssrfcpassagedeactivated"/>
          <w:i/>
        </w:rPr>
        <w:t>Nordisco</w:t>
      </w:r>
      <w:r w:rsidR="00DC2FD7">
        <w:rPr>
          <w:rStyle w:val="ssrfcpassagedeactivated"/>
        </w:rPr>
        <w:t xml:space="preserve">, that the courts needed a wider array of </w:t>
      </w:r>
      <w:r w:rsidR="003148E9">
        <w:rPr>
          <w:rStyle w:val="ssrfcpassagedeactivated"/>
        </w:rPr>
        <w:t xml:space="preserve">cases and more varied issues before a rule should be established. </w:t>
      </w:r>
      <w:r w:rsidR="009E0F7C">
        <w:rPr>
          <w:rStyle w:val="ssrfcpassagedeactivated"/>
          <w:i/>
        </w:rPr>
        <w:t xml:space="preserve">See </w:t>
      </w:r>
      <w:r w:rsidR="003148E9">
        <w:rPr>
          <w:rStyle w:val="ssrfcpassagedeactivated"/>
          <w:i/>
        </w:rPr>
        <w:t>Id.</w:t>
      </w:r>
      <w:r w:rsidR="003148E9">
        <w:rPr>
          <w:rStyle w:val="ssrfcpassagedeactivated"/>
        </w:rPr>
        <w:t xml:space="preserve"> at 559 (</w:t>
      </w:r>
      <w:r w:rsidR="003148E9" w:rsidRPr="009E0F7C">
        <w:rPr>
          <w:rStyle w:val="ssrfcpassagedeactivated"/>
          <w:i/>
        </w:rPr>
        <w:t xml:space="preserve">citing </w:t>
      </w:r>
      <w:r w:rsidR="003148E9" w:rsidRPr="009E0F7C">
        <w:rPr>
          <w:rStyle w:val="ssleftalign"/>
          <w:i/>
        </w:rPr>
        <w:t>1</w:t>
      </w:r>
      <w:r w:rsidR="003148E9">
        <w:rPr>
          <w:rStyle w:val="ssleftalign"/>
        </w:rPr>
        <w:t xml:space="preserve"> </w:t>
      </w:r>
      <w:r w:rsidR="003148E9" w:rsidRPr="003148E9">
        <w:rPr>
          <w:rStyle w:val="ssit"/>
          <w:i/>
        </w:rPr>
        <w:t>Nimmer</w:t>
      </w:r>
      <w:r w:rsidR="003148E9">
        <w:rPr>
          <w:rStyle w:val="ssleftalign"/>
        </w:rPr>
        <w:t xml:space="preserve"> § 5.03[B][2][b] (1994)).  In concurring with </w:t>
      </w:r>
      <w:r w:rsidR="003148E9">
        <w:rPr>
          <w:rStyle w:val="ssleftalign"/>
          <w:i/>
        </w:rPr>
        <w:t>Nimmer</w:t>
      </w:r>
      <w:r w:rsidR="003148E9">
        <w:rPr>
          <w:rStyle w:val="ssleftalign"/>
        </w:rPr>
        <w:t>, the court held “[w]e agree. In the fact pattern of this case, we will assume that</w:t>
      </w:r>
      <w:r w:rsidR="003148E9">
        <w:rPr>
          <w:rStyle w:val="ssib"/>
        </w:rPr>
        <w:t> </w:t>
      </w:r>
      <w:r w:rsidR="003148E9">
        <w:rPr>
          <w:rStyle w:val="ssleftalign"/>
        </w:rPr>
        <w:t xml:space="preserve">the writing requirement of </w:t>
      </w:r>
      <w:r w:rsidR="003148E9" w:rsidRPr="003148E9">
        <w:rPr>
          <w:rStyle w:val="ssleftalign"/>
        </w:rPr>
        <w:t>§ 101(2)</w:t>
      </w:r>
      <w:r w:rsidR="003148E9">
        <w:rPr>
          <w:rStyle w:val="ssleftalign"/>
        </w:rPr>
        <w:t xml:space="preserve"> can be met by a writing executed after the work is created, if the writing confirms a prior agreement, either explicit or implicit, made before the creation of the work.</w:t>
      </w:r>
      <w:r w:rsidR="00B40D4D">
        <w:rPr>
          <w:rStyle w:val="ssleftalign"/>
        </w:rPr>
        <w:t>”</w:t>
      </w:r>
      <w:r w:rsidR="003148E9">
        <w:rPr>
          <w:rStyle w:val="ssleftalign"/>
        </w:rPr>
        <w:t xml:space="preserve"> </w:t>
      </w:r>
      <w:r w:rsidR="003148E9">
        <w:rPr>
          <w:rStyle w:val="ssleftalign"/>
          <w:i/>
        </w:rPr>
        <w:t>Id</w:t>
      </w:r>
      <w:r w:rsidR="003148E9">
        <w:rPr>
          <w:rStyle w:val="ssleftalign"/>
        </w:rPr>
        <w:t>.</w:t>
      </w:r>
      <w:r w:rsidR="009E0F7C">
        <w:rPr>
          <w:rStyle w:val="ssleftalign"/>
        </w:rPr>
        <w:t xml:space="preserve">  Whilst the phrase “we will assume” may not</w:t>
      </w:r>
      <w:r w:rsidR="00B40D4D">
        <w:rPr>
          <w:rStyle w:val="ssleftalign"/>
        </w:rPr>
        <w:t xml:space="preserve"> convey a conviction of certitude</w:t>
      </w:r>
      <w:r w:rsidR="009E0F7C">
        <w:rPr>
          <w:rStyle w:val="ssleftalign"/>
        </w:rPr>
        <w:t>, it remains law in the Second Circuit</w:t>
      </w:r>
      <w:r w:rsidR="00B40D4D">
        <w:rPr>
          <w:rStyle w:val="ssleftalign"/>
        </w:rPr>
        <w:t xml:space="preserve">. </w:t>
      </w:r>
      <w:r w:rsidR="00B40D4D">
        <w:rPr>
          <w:rStyle w:val="ssleftalign"/>
          <w:i/>
        </w:rPr>
        <w:t>Id</w:t>
      </w:r>
      <w:r w:rsidR="00B40D4D">
        <w:rPr>
          <w:rStyle w:val="ssleftalign"/>
        </w:rPr>
        <w:t>.</w:t>
      </w:r>
    </w:p>
    <w:p w14:paraId="4C801D43" w14:textId="77777777" w:rsidR="00B40D4D" w:rsidRDefault="009E0F7C" w:rsidP="0005207D">
      <w:pPr>
        <w:spacing w:line="480" w:lineRule="auto"/>
        <w:ind w:firstLine="720"/>
        <w:rPr>
          <w:rStyle w:val="ssrfcpassagedeactivated"/>
        </w:rPr>
      </w:pPr>
      <w:r>
        <w:rPr>
          <w:rStyle w:val="ssleftalign"/>
        </w:rPr>
        <w:t>The Supreme Court chose not to intervene to resolve the circuit split</w:t>
      </w:r>
      <w:r w:rsidR="00B40D4D">
        <w:rPr>
          <w:rStyle w:val="ssleftalign"/>
        </w:rPr>
        <w:t xml:space="preserve">; </w:t>
      </w:r>
      <w:r w:rsidR="00B40D4D" w:rsidRPr="00B40D4D">
        <w:rPr>
          <w:rStyle w:val="ssleftalign"/>
          <w:i/>
        </w:rPr>
        <w:t>cert</w:t>
      </w:r>
      <w:r w:rsidR="00B40D4D">
        <w:rPr>
          <w:rStyle w:val="ssleftalign"/>
        </w:rPr>
        <w:t xml:space="preserve"> was denied.  Ho</w:t>
      </w:r>
      <w:r>
        <w:rPr>
          <w:rStyle w:val="ssleftalign"/>
        </w:rPr>
        <w:t xml:space="preserve">wever, the Ninth Circuit was presented with an opportunity </w:t>
      </w:r>
      <w:r w:rsidR="00B40D4D">
        <w:rPr>
          <w:rStyle w:val="ssleftalign"/>
        </w:rPr>
        <w:t xml:space="preserve">to offer </w:t>
      </w:r>
      <w:r w:rsidR="00291D44">
        <w:rPr>
          <w:rStyle w:val="ssleftalign"/>
        </w:rPr>
        <w:t>its</w:t>
      </w:r>
      <w:r w:rsidR="00B40D4D">
        <w:rPr>
          <w:rStyle w:val="ssleftalign"/>
        </w:rPr>
        <w:t xml:space="preserve"> own perspective on the issue.  In 2007, in an unpublished opinion, the court borrowed from </w:t>
      </w:r>
      <w:r w:rsidR="00D75F9B" w:rsidRPr="00C42E25">
        <w:rPr>
          <w:rFonts w:cs="Times New Roman"/>
          <w:i/>
          <w:szCs w:val="24"/>
        </w:rPr>
        <w:t>Schiller</w:t>
      </w:r>
      <w:r w:rsidR="00B40D4D">
        <w:rPr>
          <w:rStyle w:val="ssleftalign"/>
        </w:rPr>
        <w:t xml:space="preserve"> and </w:t>
      </w:r>
      <w:r w:rsidR="00B40D4D" w:rsidRPr="00B40D4D">
        <w:rPr>
          <w:rStyle w:val="ssleftalign"/>
          <w:i/>
        </w:rPr>
        <w:t>Dumas</w:t>
      </w:r>
      <w:r w:rsidR="00B40D4D">
        <w:rPr>
          <w:rStyle w:val="ssleftalign"/>
        </w:rPr>
        <w:t xml:space="preserve"> to render a decision</w:t>
      </w:r>
      <w:r w:rsidR="006E78A2">
        <w:rPr>
          <w:rStyle w:val="ssleftalign"/>
        </w:rPr>
        <w:t xml:space="preserve"> that determined that the creator retained copyright ownership over products created prior to signing a contract.</w:t>
      </w:r>
      <w:r w:rsidR="006E78A2" w:rsidRPr="006E78A2">
        <w:rPr>
          <w:rStyle w:val="ssleftalign"/>
          <w:i/>
        </w:rPr>
        <w:t xml:space="preserve"> Gladwell</w:t>
      </w:r>
      <w:r w:rsidR="006E78A2" w:rsidRPr="006E78A2">
        <w:rPr>
          <w:rStyle w:val="ssleftalign"/>
        </w:rPr>
        <w:t xml:space="preserve"> </w:t>
      </w:r>
      <w:r w:rsidR="006E78A2" w:rsidRPr="006E78A2">
        <w:rPr>
          <w:rStyle w:val="ssleftalign"/>
          <w:i/>
        </w:rPr>
        <w:t>Gov't Servs. v. County of Marin</w:t>
      </w:r>
      <w:r w:rsidR="006E78A2" w:rsidRPr="006E78A2">
        <w:rPr>
          <w:rStyle w:val="ssleftalign"/>
        </w:rPr>
        <w:t>, 265 Fed. Appx. 624, 626 (9th Cir. 2008)</w:t>
      </w:r>
      <w:r w:rsidR="006E78A2">
        <w:rPr>
          <w:rStyle w:val="ssleftalign"/>
        </w:rPr>
        <w:t>. The court held that “</w:t>
      </w:r>
      <w:r w:rsidR="006E78A2">
        <w:rPr>
          <w:rStyle w:val="ssrfcpassagedeactivated"/>
        </w:rPr>
        <w:t xml:space="preserve">[t]he plain language of the statute indicates that a work-for-hire agreement cannot apply to works that are already in existence [and that] works ‘specially ordered or commissioned’ can only be made </w:t>
      </w:r>
      <w:r w:rsidR="006E78A2">
        <w:rPr>
          <w:rStyle w:val="ssit"/>
        </w:rPr>
        <w:t>after</w:t>
      </w:r>
      <w:r w:rsidR="006E78A2">
        <w:rPr>
          <w:rStyle w:val="ssrfcpassagedeactivated"/>
        </w:rPr>
        <w:t xml:space="preserve"> the execution of an express agreement between the parties. </w:t>
      </w:r>
      <w:r w:rsidR="00D75F9B">
        <w:rPr>
          <w:rStyle w:val="ssrfcpassagedeactivated"/>
          <w:i/>
        </w:rPr>
        <w:t xml:space="preserve">See </w:t>
      </w:r>
      <w:r w:rsidR="006E78A2">
        <w:rPr>
          <w:rStyle w:val="ssrfcpassagedeactivated"/>
          <w:i/>
        </w:rPr>
        <w:t xml:space="preserve">Id. </w:t>
      </w:r>
      <w:r w:rsidR="006E78A2">
        <w:rPr>
          <w:rStyle w:val="ssrfcpassagedeactivated"/>
        </w:rPr>
        <w:t xml:space="preserve">(citing </w:t>
      </w:r>
      <w:r w:rsidR="006E78A2" w:rsidRPr="006E78A2">
        <w:rPr>
          <w:rStyle w:val="ssun"/>
          <w:i/>
        </w:rPr>
        <w:t>Playboy Enters., Inc. v. Dumas</w:t>
      </w:r>
      <w:r w:rsidR="006E78A2" w:rsidRPr="006E78A2">
        <w:rPr>
          <w:rStyle w:val="ssun"/>
        </w:rPr>
        <w:t>,</w:t>
      </w:r>
      <w:r w:rsidR="006E78A2" w:rsidRPr="006E78A2">
        <w:rPr>
          <w:rStyle w:val="ssrfcpassagedeactivated"/>
        </w:rPr>
        <w:t xml:space="preserve"> 53 F.3d 549, 558-59 (2d Cir. 1995)</w:t>
      </w:r>
      <w:r w:rsidR="006E78A2">
        <w:rPr>
          <w:rStyle w:val="ssrfcpassagedeactivated"/>
        </w:rPr>
        <w:t xml:space="preserve">. The court’s decision, however, appeared to hinge upon the determination that because the work products existed prior to the work-for-hire agreement, they could not qualify as such. </w:t>
      </w:r>
      <w:r w:rsidR="006E78A2">
        <w:rPr>
          <w:rStyle w:val="ssrfcpassagedeactivated"/>
          <w:i/>
        </w:rPr>
        <w:t>Id</w:t>
      </w:r>
      <w:r w:rsidR="006E78A2">
        <w:rPr>
          <w:rStyle w:val="ssrfcpassagedeactivated"/>
        </w:rPr>
        <w:t>.</w:t>
      </w:r>
    </w:p>
    <w:p w14:paraId="69EF72B9" w14:textId="77777777" w:rsidR="006E78A2" w:rsidRDefault="00D75F9B" w:rsidP="0005207D">
      <w:pPr>
        <w:spacing w:line="480" w:lineRule="auto"/>
        <w:ind w:firstLine="720"/>
        <w:rPr>
          <w:rStyle w:val="ssleftalign"/>
        </w:rPr>
      </w:pPr>
      <w:r w:rsidRPr="00C42E25">
        <w:rPr>
          <w:rFonts w:cs="Times New Roman"/>
          <w:i/>
          <w:szCs w:val="24"/>
        </w:rPr>
        <w:lastRenderedPageBreak/>
        <w:t>Schiller</w:t>
      </w:r>
      <w:r w:rsidR="006E78A2">
        <w:rPr>
          <w:rStyle w:val="ssrfcpassagedeactivated"/>
        </w:rPr>
        <w:t xml:space="preserve"> is more closely related to the fact pattern in the instant case.  </w:t>
      </w:r>
      <w:r w:rsidR="00D809F3">
        <w:rPr>
          <w:rStyle w:val="ssrfcpassagedeactivated"/>
        </w:rPr>
        <w:t xml:space="preserve">Unlike, </w:t>
      </w:r>
      <w:r w:rsidR="00D809F3">
        <w:rPr>
          <w:rStyle w:val="ssrfcpassagedeactivated"/>
          <w:i/>
        </w:rPr>
        <w:t xml:space="preserve">Dumas, </w:t>
      </w:r>
      <w:r w:rsidR="00D809F3">
        <w:rPr>
          <w:rStyle w:val="ssrfcpassagedeactivated"/>
        </w:rPr>
        <w:t xml:space="preserve">neither </w:t>
      </w:r>
      <w:r w:rsidRPr="00C42E25">
        <w:rPr>
          <w:rFonts w:cs="Times New Roman"/>
          <w:i/>
          <w:szCs w:val="24"/>
        </w:rPr>
        <w:t>Schiller</w:t>
      </w:r>
      <w:r>
        <w:rPr>
          <w:rFonts w:cs="Times New Roman"/>
          <w:i/>
          <w:szCs w:val="24"/>
        </w:rPr>
        <w:t>,</w:t>
      </w:r>
      <w:r>
        <w:rPr>
          <w:rFonts w:cs="Times New Roman"/>
          <w:szCs w:val="24"/>
        </w:rPr>
        <w:t xml:space="preserve"> nor the instant case</w:t>
      </w:r>
      <w:r w:rsidR="00D809F3">
        <w:rPr>
          <w:rStyle w:val="ssrfcpassagedeactivated"/>
        </w:rPr>
        <w:t xml:space="preserve"> concerns a long standing relationship that involved the creation and delivery of work product under the auspices of two significantly distinct statutes.  </w:t>
      </w:r>
      <w:r w:rsidRPr="00C42E25">
        <w:rPr>
          <w:rFonts w:cs="Times New Roman"/>
          <w:i/>
          <w:szCs w:val="24"/>
        </w:rPr>
        <w:t>Schiller</w:t>
      </w:r>
      <w:r w:rsidR="00D809F3">
        <w:rPr>
          <w:rStyle w:val="ssrfcpassagedeactivated"/>
        </w:rPr>
        <w:t xml:space="preserve"> is similar </w:t>
      </w:r>
      <w:r>
        <w:rPr>
          <w:rStyle w:val="ssrfcpassagedeactivated"/>
        </w:rPr>
        <w:t xml:space="preserve">to the instant case </w:t>
      </w:r>
      <w:r w:rsidR="00D809F3">
        <w:rPr>
          <w:rStyle w:val="ssrfcpassagedeactivated"/>
        </w:rPr>
        <w:t xml:space="preserve">because it, too, involved the single instance of a post completion signature of a written instrument that purported to be a work-made-for-hire agreement.  </w:t>
      </w:r>
      <w:r w:rsidR="00342D2A">
        <w:rPr>
          <w:rStyle w:val="ssrfcpassagedeactivated"/>
        </w:rPr>
        <w:t xml:space="preserve">Defendant Lime, also, was presented with the work-made-for-hire agreement well after the delivery of the commissioned product; this is similar to the circumstances Bertel delivered photographs to Schiller in </w:t>
      </w:r>
      <w:r w:rsidRPr="00C42E25">
        <w:rPr>
          <w:rFonts w:cs="Times New Roman"/>
          <w:i/>
          <w:szCs w:val="24"/>
        </w:rPr>
        <w:t>Schiller</w:t>
      </w:r>
      <w:r w:rsidR="00342D2A">
        <w:rPr>
          <w:rStyle w:val="ssrfcpassagedeactivated"/>
        </w:rPr>
        <w:t xml:space="preserve">.  </w:t>
      </w:r>
      <w:r w:rsidR="00342D2A" w:rsidRPr="006E78A2">
        <w:rPr>
          <w:rStyle w:val="ssleftalign"/>
          <w:i/>
        </w:rPr>
        <w:t>Gladwell</w:t>
      </w:r>
      <w:r w:rsidR="00342D2A">
        <w:rPr>
          <w:rStyle w:val="ssleftalign"/>
        </w:rPr>
        <w:t xml:space="preserve">’s fact pattern may have been more similar to </w:t>
      </w:r>
      <w:r w:rsidR="00342D2A">
        <w:rPr>
          <w:rStyle w:val="ssleftalign"/>
          <w:i/>
        </w:rPr>
        <w:t>Dumas</w:t>
      </w:r>
      <w:r w:rsidR="00342D2A">
        <w:rPr>
          <w:rStyle w:val="ssleftalign"/>
        </w:rPr>
        <w:t xml:space="preserve"> than to the instant case or </w:t>
      </w:r>
      <w:r w:rsidRPr="00C42E25">
        <w:rPr>
          <w:rFonts w:cs="Times New Roman"/>
          <w:i/>
          <w:szCs w:val="24"/>
        </w:rPr>
        <w:t>Schiller</w:t>
      </w:r>
      <w:r w:rsidR="00342D2A">
        <w:rPr>
          <w:rStyle w:val="ssleftalign"/>
        </w:rPr>
        <w:t xml:space="preserve"> but in a persuasive opinion the Ninth Circuit elected </w:t>
      </w:r>
      <w:r w:rsidR="002E7F39">
        <w:rPr>
          <w:rStyle w:val="ssleftalign"/>
        </w:rPr>
        <w:t xml:space="preserve">to require </w:t>
      </w:r>
      <w:r>
        <w:rPr>
          <w:rStyle w:val="ssleftalign"/>
        </w:rPr>
        <w:t>documentary evidence</w:t>
      </w:r>
      <w:r w:rsidR="002E7F39">
        <w:rPr>
          <w:rStyle w:val="ssleftalign"/>
        </w:rPr>
        <w:t xml:space="preserve"> rather than rely on verbal agreements and potentially faulty memories.</w:t>
      </w:r>
      <w:r>
        <w:rPr>
          <w:rStyle w:val="ssleftalign"/>
        </w:rPr>
        <w:t xml:space="preserve">  </w:t>
      </w:r>
      <w:r w:rsidR="006C5307">
        <w:rPr>
          <w:rStyle w:val="ssleftalign"/>
        </w:rPr>
        <w:t xml:space="preserve">The similarities of the circumstances in </w:t>
      </w:r>
      <w:r w:rsidR="006C5307">
        <w:rPr>
          <w:rStyle w:val="ssleftalign"/>
          <w:i/>
        </w:rPr>
        <w:t>Schiller</w:t>
      </w:r>
      <w:r w:rsidR="006C5307">
        <w:rPr>
          <w:rStyle w:val="ssleftalign"/>
        </w:rPr>
        <w:t xml:space="preserve"> to the instant case, as well as the Ninth Circuit’s holding in </w:t>
      </w:r>
      <w:r w:rsidR="006C5307">
        <w:rPr>
          <w:rStyle w:val="ssleftalign"/>
          <w:i/>
        </w:rPr>
        <w:t>Gladwell</w:t>
      </w:r>
      <w:r w:rsidR="006C5307">
        <w:rPr>
          <w:rStyle w:val="ssleftalign"/>
        </w:rPr>
        <w:t xml:space="preserve">, tend to support an argument that the Second Circuit’s divergent holding in </w:t>
      </w:r>
      <w:r w:rsidR="006C5307">
        <w:rPr>
          <w:rStyle w:val="ssleftalign"/>
          <w:i/>
        </w:rPr>
        <w:t>Dumas</w:t>
      </w:r>
      <w:r w:rsidR="006C5307">
        <w:rPr>
          <w:rStyle w:val="ssleftalign"/>
        </w:rPr>
        <w:t xml:space="preserve"> would likely fail to stand as a standard for work-made-for-hire products in this jurisdiction.</w:t>
      </w:r>
    </w:p>
    <w:p w14:paraId="221105D1" w14:textId="77777777" w:rsidR="00455E59" w:rsidRDefault="00455E59" w:rsidP="00455E59">
      <w:pPr>
        <w:pStyle w:val="ListParagraph"/>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 xml:space="preserve">THE RULE OF LENITY SHOULD NOT </w:t>
      </w:r>
      <w:r w:rsidR="00FF4484">
        <w:rPr>
          <w:rFonts w:ascii="Times New Roman" w:hAnsi="Times New Roman" w:cs="Times New Roman"/>
          <w:b/>
          <w:sz w:val="24"/>
          <w:szCs w:val="24"/>
        </w:rPr>
        <w:t>APPLY BECAUSE THE STATUTE IS NOT AMBIGUOUS</w:t>
      </w:r>
    </w:p>
    <w:p w14:paraId="0218D7E7" w14:textId="77777777" w:rsidR="00FF4484" w:rsidRDefault="00FF4484" w:rsidP="00FF4484">
      <w:pPr>
        <w:pStyle w:val="ListParagraph"/>
        <w:spacing w:line="240" w:lineRule="auto"/>
        <w:ind w:left="0"/>
        <w:rPr>
          <w:rFonts w:ascii="Times New Roman" w:hAnsi="Times New Roman" w:cs="Times New Roman"/>
          <w:b/>
          <w:sz w:val="24"/>
          <w:szCs w:val="24"/>
        </w:rPr>
      </w:pPr>
    </w:p>
    <w:p w14:paraId="0E1F7C82" w14:textId="77777777" w:rsidR="00FF4484" w:rsidRDefault="00FF4484" w:rsidP="00FF4484">
      <w:pPr>
        <w:spacing w:line="480" w:lineRule="auto"/>
        <w:ind w:firstLine="720"/>
        <w:rPr>
          <w:rFonts w:cs="Times New Roman"/>
          <w:szCs w:val="24"/>
        </w:rPr>
      </w:pPr>
      <w:r>
        <w:rPr>
          <w:rFonts w:cs="Times New Roman"/>
          <w:szCs w:val="24"/>
        </w:rPr>
        <w:t xml:space="preserve">The </w:t>
      </w:r>
      <w:r w:rsidRPr="00FF4484">
        <w:rPr>
          <w:rFonts w:cs="Times New Roman"/>
          <w:szCs w:val="24"/>
        </w:rPr>
        <w:t>Rule</w:t>
      </w:r>
      <w:r>
        <w:rPr>
          <w:rFonts w:cs="Times New Roman"/>
          <w:szCs w:val="24"/>
        </w:rPr>
        <w:t xml:space="preserve"> of Lenity only applies in situations in which the court finds itself unable to resolve ambiguities of statutory interpretation; it is, essentially, a rule of last resort and is only employed if it becomes necessary to “guess what Congress intended.” </w:t>
      </w:r>
      <w:r>
        <w:rPr>
          <w:rFonts w:cs="Times New Roman"/>
          <w:i/>
          <w:szCs w:val="24"/>
        </w:rPr>
        <w:t>United States v. Wells</w:t>
      </w:r>
      <w:r>
        <w:rPr>
          <w:rFonts w:cs="Times New Roman"/>
          <w:szCs w:val="24"/>
        </w:rPr>
        <w:t>, 519 U.S. 482, 499 (1997) (</w:t>
      </w:r>
      <w:r>
        <w:rPr>
          <w:rFonts w:cs="Times New Roman"/>
          <w:i/>
          <w:szCs w:val="24"/>
        </w:rPr>
        <w:t>citing Reno v. Koray</w:t>
      </w:r>
      <w:r>
        <w:rPr>
          <w:rFonts w:cs="Times New Roman"/>
          <w:szCs w:val="24"/>
        </w:rPr>
        <w:t>, 515 U.S. 50, 65 (1995).</w:t>
      </w:r>
    </w:p>
    <w:p w14:paraId="68F8348F" w14:textId="77777777" w:rsidR="00FF4484" w:rsidRPr="00FF4484" w:rsidRDefault="00FF4484" w:rsidP="00FF4484">
      <w:pPr>
        <w:spacing w:line="480" w:lineRule="auto"/>
        <w:ind w:firstLine="720"/>
        <w:rPr>
          <w:rFonts w:cs="Times New Roman"/>
          <w:szCs w:val="24"/>
        </w:rPr>
      </w:pPr>
      <w:r>
        <w:rPr>
          <w:rFonts w:cs="Times New Roman"/>
          <w:szCs w:val="24"/>
        </w:rPr>
        <w:t xml:space="preserve">As there determining the intent of Congress requires no guesswork, due to the lack </w:t>
      </w:r>
      <w:r w:rsidR="008672AC">
        <w:rPr>
          <w:rFonts w:cs="Times New Roman"/>
          <w:szCs w:val="24"/>
        </w:rPr>
        <w:t>of ambiguity, the Rule of Lenity does not apply to the instant case.</w:t>
      </w:r>
    </w:p>
    <w:p w14:paraId="15053EAC" w14:textId="77777777" w:rsidR="00455E59" w:rsidRDefault="00455E59" w:rsidP="00455E59">
      <w:pPr>
        <w:spacing w:line="240" w:lineRule="auto"/>
        <w:rPr>
          <w:rFonts w:cs="Times New Roman"/>
          <w:b/>
          <w:szCs w:val="24"/>
        </w:rPr>
      </w:pPr>
    </w:p>
    <w:p w14:paraId="05421578" w14:textId="77777777" w:rsidR="008261A2" w:rsidRDefault="008261A2" w:rsidP="008261A2">
      <w:pPr>
        <w:spacing w:line="480" w:lineRule="auto"/>
        <w:jc w:val="center"/>
        <w:rPr>
          <w:rFonts w:cs="Times New Roman"/>
          <w:b/>
          <w:szCs w:val="24"/>
          <w:u w:val="single"/>
        </w:rPr>
      </w:pPr>
      <w:r>
        <w:rPr>
          <w:rFonts w:cs="Times New Roman"/>
          <w:b/>
          <w:szCs w:val="24"/>
          <w:u w:val="single"/>
        </w:rPr>
        <w:lastRenderedPageBreak/>
        <w:t>Conclusion</w:t>
      </w:r>
    </w:p>
    <w:p w14:paraId="533E4CEC" w14:textId="77777777" w:rsidR="008261A2" w:rsidRDefault="008672AC" w:rsidP="008261A2">
      <w:pPr>
        <w:spacing w:line="480" w:lineRule="auto"/>
        <w:ind w:firstLine="720"/>
        <w:rPr>
          <w:rFonts w:cs="Times New Roman"/>
          <w:szCs w:val="24"/>
        </w:rPr>
      </w:pPr>
      <w:r>
        <w:rPr>
          <w:rFonts w:cs="Times New Roman"/>
          <w:szCs w:val="24"/>
        </w:rPr>
        <w:t>Even when</w:t>
      </w:r>
      <w:r w:rsidR="008261A2">
        <w:rPr>
          <w:rFonts w:cs="Times New Roman"/>
          <w:szCs w:val="24"/>
        </w:rPr>
        <w:t xml:space="preserve"> consideri</w:t>
      </w:r>
      <w:r>
        <w:rPr>
          <w:rFonts w:cs="Times New Roman"/>
          <w:szCs w:val="24"/>
        </w:rPr>
        <w:t>ng the allegations made in the C</w:t>
      </w:r>
      <w:r w:rsidR="008261A2">
        <w:rPr>
          <w:rFonts w:cs="Times New Roman"/>
          <w:szCs w:val="24"/>
        </w:rPr>
        <w:t>omplaint in a light most favorable to the Plain</w:t>
      </w:r>
      <w:r>
        <w:rPr>
          <w:rFonts w:cs="Times New Roman"/>
          <w:szCs w:val="24"/>
        </w:rPr>
        <w:t>tiff, the C</w:t>
      </w:r>
      <w:r w:rsidR="008261A2">
        <w:rPr>
          <w:rFonts w:cs="Times New Roman"/>
          <w:szCs w:val="24"/>
        </w:rPr>
        <w:t>ourt should find that there no plausible entitlement for relief.</w:t>
      </w:r>
      <w:r>
        <w:rPr>
          <w:rFonts w:cs="Times New Roman"/>
          <w:szCs w:val="24"/>
        </w:rPr>
        <w:t xml:space="preserve">  Therefore, the Court should grant Defendants’</w:t>
      </w:r>
      <w:r w:rsidR="004F25EC">
        <w:rPr>
          <w:rFonts w:cs="Times New Roman"/>
          <w:szCs w:val="24"/>
        </w:rPr>
        <w:t xml:space="preserve"> motion to dismiss.  Plaintiff’s allegations should fail because the plain language understanding of </w:t>
      </w:r>
      <w:r>
        <w:rPr>
          <w:rFonts w:cs="Times New Roman"/>
          <w:szCs w:val="24"/>
        </w:rPr>
        <w:t>USC 17 § 101</w:t>
      </w:r>
      <w:r w:rsidR="004F25EC">
        <w:rPr>
          <w:rFonts w:cs="Times New Roman"/>
          <w:szCs w:val="24"/>
        </w:rPr>
        <w:t xml:space="preserve"> precludes the determination that a written instrument or contract signed after assignment has already been accomplish can have any effect in law.  Furthermore, the abundant legislative history surrounding the consideration and passage of the sta</w:t>
      </w:r>
      <w:r>
        <w:rPr>
          <w:rFonts w:cs="Times New Roman"/>
          <w:szCs w:val="24"/>
        </w:rPr>
        <w:t>tute updating and revising USC</w:t>
      </w:r>
      <w:r w:rsidR="004F25EC">
        <w:rPr>
          <w:rFonts w:cs="Times New Roman"/>
          <w:szCs w:val="24"/>
        </w:rPr>
        <w:t xml:space="preserve"> 17 by, what eventually became, the Cop</w:t>
      </w:r>
      <w:r>
        <w:rPr>
          <w:rFonts w:cs="Times New Roman"/>
          <w:szCs w:val="24"/>
        </w:rPr>
        <w:t>yright Act of 1976, supports the</w:t>
      </w:r>
      <w:r w:rsidR="004F25EC">
        <w:rPr>
          <w:rFonts w:cs="Times New Roman"/>
          <w:szCs w:val="24"/>
        </w:rPr>
        <w:t xml:space="preserve"> interpretation that a work-made-for-hire agreement must be written and signed prior to the work’s creation.  Additionally, the determination of the Senior Executive of the Federal Agency at the time of the Act’s passage was of the same m</w:t>
      </w:r>
      <w:r w:rsidR="00543874">
        <w:rPr>
          <w:rFonts w:cs="Times New Roman"/>
          <w:szCs w:val="24"/>
        </w:rPr>
        <w:t>ind.  A</w:t>
      </w:r>
      <w:r w:rsidR="004F25EC">
        <w:rPr>
          <w:rFonts w:cs="Times New Roman"/>
          <w:szCs w:val="24"/>
        </w:rPr>
        <w:t>lthough there is a circuit split, two circuits (one albeit in an unpublished opinion</w:t>
      </w:r>
      <w:r>
        <w:rPr>
          <w:rFonts w:cs="Times New Roman"/>
          <w:szCs w:val="24"/>
        </w:rPr>
        <w:t xml:space="preserve">) are in accord with this interpretation and the </w:t>
      </w:r>
      <w:r w:rsidR="004F25EC">
        <w:rPr>
          <w:rFonts w:cs="Times New Roman"/>
          <w:szCs w:val="24"/>
        </w:rPr>
        <w:t xml:space="preserve">circuit that </w:t>
      </w:r>
      <w:r>
        <w:rPr>
          <w:rFonts w:cs="Times New Roman"/>
          <w:szCs w:val="24"/>
        </w:rPr>
        <w:t xml:space="preserve">held otherwise noted a need for an evaluation of varied fact patterns in order to </w:t>
      </w:r>
      <w:r w:rsidR="00543874">
        <w:rPr>
          <w:rFonts w:cs="Times New Roman"/>
          <w:szCs w:val="24"/>
        </w:rPr>
        <w:t xml:space="preserve">acquire a more definitive answer.  </w:t>
      </w:r>
      <w:r w:rsidR="004F25EC">
        <w:rPr>
          <w:rFonts w:cs="Times New Roman"/>
          <w:szCs w:val="24"/>
        </w:rPr>
        <w:t xml:space="preserve"> </w:t>
      </w:r>
      <w:r>
        <w:rPr>
          <w:rFonts w:cs="Times New Roman"/>
          <w:szCs w:val="24"/>
        </w:rPr>
        <w:t>Finally, construing § 101</w:t>
      </w:r>
      <w:r w:rsidR="00543874">
        <w:rPr>
          <w:rFonts w:cs="Times New Roman"/>
          <w:szCs w:val="24"/>
        </w:rPr>
        <w:t xml:space="preserve"> as requested by the Plaintiff would have concede that after a long and careful consideration, that lasted more than a generation, Congress </w:t>
      </w:r>
      <w:r>
        <w:rPr>
          <w:rFonts w:cs="Times New Roman"/>
          <w:szCs w:val="24"/>
        </w:rPr>
        <w:t>promulgated</w:t>
      </w:r>
      <w:r w:rsidR="00543874">
        <w:rPr>
          <w:rFonts w:cs="Times New Roman"/>
          <w:szCs w:val="24"/>
        </w:rPr>
        <w:t xml:space="preserve"> a statute that included two sections to accomplish the same purpose with contradictory requirements.</w:t>
      </w:r>
    </w:p>
    <w:p w14:paraId="1819D9A5" w14:textId="77777777" w:rsidR="00543874" w:rsidRDefault="00543874" w:rsidP="00543874">
      <w:pPr>
        <w:spacing w:line="480" w:lineRule="auto"/>
        <w:rPr>
          <w:rFonts w:cs="Times New Roman"/>
          <w:szCs w:val="24"/>
        </w:rPr>
      </w:pPr>
      <w:r>
        <w:rPr>
          <w:rFonts w:cs="Times New Roman"/>
          <w:szCs w:val="24"/>
        </w:rPr>
        <w:t xml:space="preserve">Dated: March </w:t>
      </w:r>
      <w:r w:rsidR="008672AC">
        <w:rPr>
          <w:rFonts w:cs="Times New Roman"/>
          <w:szCs w:val="24"/>
        </w:rPr>
        <w:t>22</w:t>
      </w:r>
      <w:r>
        <w:rPr>
          <w:rFonts w:cs="Times New Roman"/>
          <w:szCs w:val="24"/>
        </w:rPr>
        <w:t>, 2012</w:t>
      </w:r>
      <w:r>
        <w:rPr>
          <w:rFonts w:cs="Times New Roman"/>
          <w:szCs w:val="24"/>
        </w:rPr>
        <w:tab/>
      </w:r>
      <w:r>
        <w:rPr>
          <w:rFonts w:cs="Times New Roman"/>
          <w:szCs w:val="24"/>
        </w:rPr>
        <w:tab/>
      </w:r>
      <w:r>
        <w:rPr>
          <w:rFonts w:cs="Times New Roman"/>
          <w:szCs w:val="24"/>
        </w:rPr>
        <w:tab/>
      </w:r>
      <w:r>
        <w:rPr>
          <w:rFonts w:cs="Times New Roman"/>
          <w:szCs w:val="24"/>
        </w:rPr>
        <w:tab/>
        <w:t>Respectfully Submitted,</w:t>
      </w:r>
    </w:p>
    <w:p w14:paraId="32BF559A" w14:textId="77777777" w:rsidR="00543874" w:rsidRDefault="00543874" w:rsidP="00543874">
      <w:pPr>
        <w:spacing w:line="480" w:lineRule="auto"/>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t>/s/</w:t>
      </w:r>
    </w:p>
    <w:p w14:paraId="7143B36F" w14:textId="55A71364" w:rsidR="00543874" w:rsidRPr="008261A2" w:rsidRDefault="00543874" w:rsidP="00543874">
      <w:pPr>
        <w:spacing w:line="240" w:lineRule="auto"/>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t>Counsel for Defendants</w:t>
      </w:r>
      <w:r>
        <w:rPr>
          <w:rFonts w:cs="Times New Roman"/>
          <w:szCs w:val="24"/>
        </w:rPr>
        <w:br/>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001D7722">
        <w:rPr>
          <w:rFonts w:cs="Times New Roman"/>
          <w:szCs w:val="24"/>
        </w:rPr>
        <w:t>&lt;redacted&gt;&lt;/redacted&gt;</w:t>
      </w:r>
      <w:bookmarkStart w:id="0" w:name="_GoBack"/>
      <w:bookmarkEnd w:id="0"/>
    </w:p>
    <w:sectPr w:rsidR="00543874" w:rsidRPr="008261A2" w:rsidSect="0038748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0285E" w14:textId="77777777" w:rsidR="00506D40" w:rsidRDefault="00506D40" w:rsidP="00CB1678">
      <w:pPr>
        <w:spacing w:after="0" w:line="240" w:lineRule="auto"/>
      </w:pPr>
      <w:r>
        <w:separator/>
      </w:r>
    </w:p>
  </w:endnote>
  <w:endnote w:type="continuationSeparator" w:id="0">
    <w:p w14:paraId="5ACED34B" w14:textId="77777777" w:rsidR="00506D40" w:rsidRDefault="00506D40" w:rsidP="00CB1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15116"/>
      <w:docPartObj>
        <w:docPartGallery w:val="Page Numbers (Bottom of Page)"/>
        <w:docPartUnique/>
      </w:docPartObj>
    </w:sdtPr>
    <w:sdtEndPr/>
    <w:sdtContent>
      <w:p w14:paraId="1FB28D89" w14:textId="77777777" w:rsidR="00FF4484" w:rsidRDefault="00025E88">
        <w:pPr>
          <w:pStyle w:val="Footer"/>
          <w:jc w:val="center"/>
        </w:pPr>
        <w:r>
          <w:fldChar w:fldCharType="begin"/>
        </w:r>
        <w:r>
          <w:instrText xml:space="preserve"> PAGE   \* MERGEFORMAT </w:instrText>
        </w:r>
        <w:r>
          <w:fldChar w:fldCharType="separate"/>
        </w:r>
        <w:r w:rsidR="001D7722">
          <w:rPr>
            <w:noProof/>
          </w:rPr>
          <w:t>15</w:t>
        </w:r>
        <w:r>
          <w:rPr>
            <w:noProof/>
          </w:rPr>
          <w:fldChar w:fldCharType="end"/>
        </w:r>
      </w:p>
    </w:sdtContent>
  </w:sdt>
  <w:p w14:paraId="1FEC8D20" w14:textId="77777777" w:rsidR="00FF4484" w:rsidRDefault="00FF448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AEC70" w14:textId="77777777" w:rsidR="00506D40" w:rsidRDefault="00506D40" w:rsidP="00CB1678">
      <w:pPr>
        <w:spacing w:after="0" w:line="240" w:lineRule="auto"/>
      </w:pPr>
      <w:r>
        <w:separator/>
      </w:r>
    </w:p>
  </w:footnote>
  <w:footnote w:type="continuationSeparator" w:id="0">
    <w:p w14:paraId="69E2A09B" w14:textId="77777777" w:rsidR="00506D40" w:rsidRDefault="00506D40" w:rsidP="00CB167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3AE86" w14:textId="77777777" w:rsidR="00FF4484" w:rsidRDefault="00FF4484">
    <w:pPr>
      <w:pStyle w:val="Header"/>
    </w:pPr>
    <w:r>
      <w:tab/>
    </w:r>
    <w:r>
      <w:tab/>
    </w:r>
    <w:r w:rsidR="004F3B93">
      <w:rPr>
        <w:rFonts w:eastAsia="Times New Roman" w:cs="Times New Roman"/>
        <w:szCs w:val="24"/>
      </w:rPr>
      <w:t>&lt;redacted&gt;&lt;/redacted&gt;</w:t>
    </w:r>
  </w:p>
  <w:p w14:paraId="20FB4B55" w14:textId="77777777" w:rsidR="00FF4484" w:rsidRDefault="00FF448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4799A"/>
    <w:multiLevelType w:val="hybridMultilevel"/>
    <w:tmpl w:val="6BD4102C"/>
    <w:lvl w:ilvl="0" w:tplc="1A1876EC">
      <w:start w:val="1"/>
      <w:numFmt w:val="upperLetter"/>
      <w:lvlText w:val="%1."/>
      <w:lvlJc w:val="left"/>
      <w:pPr>
        <w:ind w:left="1080" w:hanging="360"/>
      </w:pPr>
      <w:rPr>
        <w:rFonts w:hint="default"/>
        <w:b/>
      </w:rPr>
    </w:lvl>
    <w:lvl w:ilvl="1" w:tplc="A51A6FC4">
      <w:start w:val="1"/>
      <w:numFmt w:val="decimal"/>
      <w:lvlText w:val="%2."/>
      <w:lvlJc w:val="left"/>
      <w:pPr>
        <w:ind w:left="1800" w:hanging="360"/>
      </w:pPr>
      <w:rPr>
        <w:b/>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B051371"/>
    <w:multiLevelType w:val="hybridMultilevel"/>
    <w:tmpl w:val="3DA0760C"/>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5B785AAA"/>
    <w:multiLevelType w:val="hybridMultilevel"/>
    <w:tmpl w:val="7D26A6D8"/>
    <w:lvl w:ilvl="0" w:tplc="CAE2ED2E">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D22"/>
    <w:rsid w:val="00006FFB"/>
    <w:rsid w:val="00011839"/>
    <w:rsid w:val="00025E88"/>
    <w:rsid w:val="00027F5D"/>
    <w:rsid w:val="0005207D"/>
    <w:rsid w:val="00060FE2"/>
    <w:rsid w:val="000673B6"/>
    <w:rsid w:val="000779F6"/>
    <w:rsid w:val="000A4D22"/>
    <w:rsid w:val="000C42D4"/>
    <w:rsid w:val="000D33D4"/>
    <w:rsid w:val="00100C0C"/>
    <w:rsid w:val="0011144A"/>
    <w:rsid w:val="00113C5D"/>
    <w:rsid w:val="00150785"/>
    <w:rsid w:val="001A6C72"/>
    <w:rsid w:val="001D7722"/>
    <w:rsid w:val="00244F4C"/>
    <w:rsid w:val="002639E6"/>
    <w:rsid w:val="00291D44"/>
    <w:rsid w:val="002B27C4"/>
    <w:rsid w:val="002E7F39"/>
    <w:rsid w:val="003063B2"/>
    <w:rsid w:val="00307273"/>
    <w:rsid w:val="00307E7B"/>
    <w:rsid w:val="003148E9"/>
    <w:rsid w:val="00327F3F"/>
    <w:rsid w:val="00332DF0"/>
    <w:rsid w:val="00342D2A"/>
    <w:rsid w:val="003571B5"/>
    <w:rsid w:val="003620FC"/>
    <w:rsid w:val="00364EFF"/>
    <w:rsid w:val="00387483"/>
    <w:rsid w:val="00391C67"/>
    <w:rsid w:val="0039583B"/>
    <w:rsid w:val="003A4CBF"/>
    <w:rsid w:val="003A5B2A"/>
    <w:rsid w:val="00417557"/>
    <w:rsid w:val="00421F9A"/>
    <w:rsid w:val="00455E59"/>
    <w:rsid w:val="004A35B4"/>
    <w:rsid w:val="004A4A7F"/>
    <w:rsid w:val="004B3129"/>
    <w:rsid w:val="004B3198"/>
    <w:rsid w:val="004D450F"/>
    <w:rsid w:val="004F25EC"/>
    <w:rsid w:val="004F3B93"/>
    <w:rsid w:val="00506D40"/>
    <w:rsid w:val="00512A8A"/>
    <w:rsid w:val="00512CEB"/>
    <w:rsid w:val="00543874"/>
    <w:rsid w:val="00572153"/>
    <w:rsid w:val="00581E82"/>
    <w:rsid w:val="0060318A"/>
    <w:rsid w:val="00612FE3"/>
    <w:rsid w:val="00655307"/>
    <w:rsid w:val="0068238E"/>
    <w:rsid w:val="00685220"/>
    <w:rsid w:val="00686B95"/>
    <w:rsid w:val="00687591"/>
    <w:rsid w:val="006965E3"/>
    <w:rsid w:val="006A0C18"/>
    <w:rsid w:val="006B6E62"/>
    <w:rsid w:val="006C5307"/>
    <w:rsid w:val="006C6F3A"/>
    <w:rsid w:val="006E78A2"/>
    <w:rsid w:val="006F15E7"/>
    <w:rsid w:val="007757FD"/>
    <w:rsid w:val="00791CAD"/>
    <w:rsid w:val="007E34C9"/>
    <w:rsid w:val="007E5715"/>
    <w:rsid w:val="008038D8"/>
    <w:rsid w:val="008261A2"/>
    <w:rsid w:val="00854212"/>
    <w:rsid w:val="008672AC"/>
    <w:rsid w:val="008A2DE4"/>
    <w:rsid w:val="008C51F6"/>
    <w:rsid w:val="008F5CAD"/>
    <w:rsid w:val="009520F7"/>
    <w:rsid w:val="009802AA"/>
    <w:rsid w:val="009871E5"/>
    <w:rsid w:val="009A6C76"/>
    <w:rsid w:val="009B37B8"/>
    <w:rsid w:val="009E0F7C"/>
    <w:rsid w:val="00B0599F"/>
    <w:rsid w:val="00B40D4D"/>
    <w:rsid w:val="00B62BE0"/>
    <w:rsid w:val="00B97472"/>
    <w:rsid w:val="00BA0535"/>
    <w:rsid w:val="00BB294F"/>
    <w:rsid w:val="00BD35CA"/>
    <w:rsid w:val="00BD6BED"/>
    <w:rsid w:val="00C2132E"/>
    <w:rsid w:val="00C32A03"/>
    <w:rsid w:val="00C415B5"/>
    <w:rsid w:val="00C42E25"/>
    <w:rsid w:val="00C5532E"/>
    <w:rsid w:val="00CB1678"/>
    <w:rsid w:val="00CC2256"/>
    <w:rsid w:val="00CE3F8B"/>
    <w:rsid w:val="00D75F9B"/>
    <w:rsid w:val="00D809F3"/>
    <w:rsid w:val="00DB510A"/>
    <w:rsid w:val="00DC2FD7"/>
    <w:rsid w:val="00DE2590"/>
    <w:rsid w:val="00DF29E1"/>
    <w:rsid w:val="00E060CC"/>
    <w:rsid w:val="00E23DD2"/>
    <w:rsid w:val="00E37DA0"/>
    <w:rsid w:val="00E400D1"/>
    <w:rsid w:val="00E85F30"/>
    <w:rsid w:val="00ED44C6"/>
    <w:rsid w:val="00F42501"/>
    <w:rsid w:val="00F62737"/>
    <w:rsid w:val="00FA7B41"/>
    <w:rsid w:val="00FB61CA"/>
    <w:rsid w:val="00FB65BC"/>
    <w:rsid w:val="00FC0DC7"/>
    <w:rsid w:val="00FF4484"/>
    <w:rsid w:val="00FF4C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B1B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4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1E82"/>
    <w:pPr>
      <w:spacing w:after="0" w:line="480" w:lineRule="auto"/>
      <w:ind w:left="720"/>
      <w:contextualSpacing/>
    </w:pPr>
    <w:rPr>
      <w:rFonts w:asciiTheme="minorHAnsi" w:hAnsiTheme="minorHAnsi"/>
      <w:sz w:val="22"/>
    </w:rPr>
  </w:style>
  <w:style w:type="paragraph" w:styleId="NoSpacing">
    <w:name w:val="No Spacing"/>
    <w:uiPriority w:val="1"/>
    <w:qFormat/>
    <w:rsid w:val="006B6E62"/>
    <w:pPr>
      <w:spacing w:after="0" w:line="240" w:lineRule="auto"/>
    </w:pPr>
    <w:rPr>
      <w:rFonts w:ascii="Calibri" w:eastAsia="Calibri" w:hAnsi="Calibri" w:cs="Times New Roman"/>
      <w:sz w:val="22"/>
    </w:rPr>
  </w:style>
  <w:style w:type="character" w:styleId="Hyperlink">
    <w:name w:val="Hyperlink"/>
    <w:basedOn w:val="DefaultParagraphFont"/>
    <w:uiPriority w:val="99"/>
    <w:unhideWhenUsed/>
    <w:rsid w:val="006965E3"/>
    <w:rPr>
      <w:color w:val="0000FF" w:themeColor="hyperlink"/>
      <w:u w:val="single"/>
    </w:rPr>
  </w:style>
  <w:style w:type="character" w:customStyle="1" w:styleId="ssrfcpassagedeactivated">
    <w:name w:val="ss_rfcpassage_deactivated"/>
    <w:basedOn w:val="DefaultParagraphFont"/>
    <w:rsid w:val="00DB510A"/>
  </w:style>
  <w:style w:type="character" w:customStyle="1" w:styleId="sh1930788889">
    <w:name w:val="sh_1930788889"/>
    <w:basedOn w:val="DefaultParagraphFont"/>
    <w:rsid w:val="00DB510A"/>
  </w:style>
  <w:style w:type="character" w:customStyle="1" w:styleId="pnote">
    <w:name w:val="pnote"/>
    <w:basedOn w:val="DefaultParagraphFont"/>
    <w:rsid w:val="00DB510A"/>
  </w:style>
  <w:style w:type="character" w:customStyle="1" w:styleId="ssun">
    <w:name w:val="ss_un"/>
    <w:basedOn w:val="DefaultParagraphFont"/>
    <w:rsid w:val="00DB510A"/>
  </w:style>
  <w:style w:type="character" w:customStyle="1" w:styleId="ssleftalign">
    <w:name w:val="ss_leftalign"/>
    <w:basedOn w:val="DefaultParagraphFont"/>
    <w:rsid w:val="00CB1678"/>
  </w:style>
  <w:style w:type="paragraph" w:styleId="Header">
    <w:name w:val="header"/>
    <w:basedOn w:val="Normal"/>
    <w:link w:val="HeaderChar"/>
    <w:uiPriority w:val="99"/>
    <w:unhideWhenUsed/>
    <w:rsid w:val="00CB1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678"/>
  </w:style>
  <w:style w:type="paragraph" w:styleId="Footer">
    <w:name w:val="footer"/>
    <w:basedOn w:val="Normal"/>
    <w:link w:val="FooterChar"/>
    <w:uiPriority w:val="99"/>
    <w:unhideWhenUsed/>
    <w:rsid w:val="00CB1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678"/>
  </w:style>
  <w:style w:type="character" w:customStyle="1" w:styleId="ssit">
    <w:name w:val="ss_it"/>
    <w:basedOn w:val="DefaultParagraphFont"/>
    <w:rsid w:val="00327F3F"/>
  </w:style>
  <w:style w:type="character" w:customStyle="1" w:styleId="ssib">
    <w:name w:val="ss_ib"/>
    <w:basedOn w:val="DefaultParagraphFont"/>
    <w:rsid w:val="003148E9"/>
  </w:style>
  <w:style w:type="paragraph" w:styleId="BalloonText">
    <w:name w:val="Balloon Text"/>
    <w:basedOn w:val="Normal"/>
    <w:link w:val="BalloonTextChar"/>
    <w:uiPriority w:val="99"/>
    <w:semiHidden/>
    <w:unhideWhenUsed/>
    <w:rsid w:val="00C32A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A03"/>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4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1E82"/>
    <w:pPr>
      <w:spacing w:after="0" w:line="480" w:lineRule="auto"/>
      <w:ind w:left="720"/>
      <w:contextualSpacing/>
    </w:pPr>
    <w:rPr>
      <w:rFonts w:asciiTheme="minorHAnsi" w:hAnsiTheme="minorHAnsi"/>
      <w:sz w:val="22"/>
    </w:rPr>
  </w:style>
  <w:style w:type="paragraph" w:styleId="NoSpacing">
    <w:name w:val="No Spacing"/>
    <w:uiPriority w:val="1"/>
    <w:qFormat/>
    <w:rsid w:val="006B6E62"/>
    <w:pPr>
      <w:spacing w:after="0" w:line="240" w:lineRule="auto"/>
    </w:pPr>
    <w:rPr>
      <w:rFonts w:ascii="Calibri" w:eastAsia="Calibri" w:hAnsi="Calibri" w:cs="Times New Roman"/>
      <w:sz w:val="22"/>
    </w:rPr>
  </w:style>
  <w:style w:type="character" w:styleId="Hyperlink">
    <w:name w:val="Hyperlink"/>
    <w:basedOn w:val="DefaultParagraphFont"/>
    <w:uiPriority w:val="99"/>
    <w:unhideWhenUsed/>
    <w:rsid w:val="006965E3"/>
    <w:rPr>
      <w:color w:val="0000FF" w:themeColor="hyperlink"/>
      <w:u w:val="single"/>
    </w:rPr>
  </w:style>
  <w:style w:type="character" w:customStyle="1" w:styleId="ssrfcpassagedeactivated">
    <w:name w:val="ss_rfcpassage_deactivated"/>
    <w:basedOn w:val="DefaultParagraphFont"/>
    <w:rsid w:val="00DB510A"/>
  </w:style>
  <w:style w:type="character" w:customStyle="1" w:styleId="sh1930788889">
    <w:name w:val="sh_1930788889"/>
    <w:basedOn w:val="DefaultParagraphFont"/>
    <w:rsid w:val="00DB510A"/>
  </w:style>
  <w:style w:type="character" w:customStyle="1" w:styleId="pnote">
    <w:name w:val="pnote"/>
    <w:basedOn w:val="DefaultParagraphFont"/>
    <w:rsid w:val="00DB510A"/>
  </w:style>
  <w:style w:type="character" w:customStyle="1" w:styleId="ssun">
    <w:name w:val="ss_un"/>
    <w:basedOn w:val="DefaultParagraphFont"/>
    <w:rsid w:val="00DB510A"/>
  </w:style>
  <w:style w:type="character" w:customStyle="1" w:styleId="ssleftalign">
    <w:name w:val="ss_leftalign"/>
    <w:basedOn w:val="DefaultParagraphFont"/>
    <w:rsid w:val="00CB1678"/>
  </w:style>
  <w:style w:type="paragraph" w:styleId="Header">
    <w:name w:val="header"/>
    <w:basedOn w:val="Normal"/>
    <w:link w:val="HeaderChar"/>
    <w:uiPriority w:val="99"/>
    <w:unhideWhenUsed/>
    <w:rsid w:val="00CB1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678"/>
  </w:style>
  <w:style w:type="paragraph" w:styleId="Footer">
    <w:name w:val="footer"/>
    <w:basedOn w:val="Normal"/>
    <w:link w:val="FooterChar"/>
    <w:uiPriority w:val="99"/>
    <w:unhideWhenUsed/>
    <w:rsid w:val="00CB1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678"/>
  </w:style>
  <w:style w:type="character" w:customStyle="1" w:styleId="ssit">
    <w:name w:val="ss_it"/>
    <w:basedOn w:val="DefaultParagraphFont"/>
    <w:rsid w:val="00327F3F"/>
  </w:style>
  <w:style w:type="character" w:customStyle="1" w:styleId="ssib">
    <w:name w:val="ss_ib"/>
    <w:basedOn w:val="DefaultParagraphFont"/>
    <w:rsid w:val="003148E9"/>
  </w:style>
  <w:style w:type="paragraph" w:styleId="BalloonText">
    <w:name w:val="Balloon Text"/>
    <w:basedOn w:val="Normal"/>
    <w:link w:val="BalloonTextChar"/>
    <w:uiPriority w:val="99"/>
    <w:semiHidden/>
    <w:unhideWhenUsed/>
    <w:rsid w:val="00C32A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A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2C5C2-4CF0-9442-8967-C2C48B68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4829</Words>
  <Characters>24630</Characters>
  <Application>Microsoft Macintosh Word</Application>
  <DocSecurity>0</DocSecurity>
  <Lines>439</Lines>
  <Paragraphs>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29365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2012-03-01T09:30:00Z</cp:lastPrinted>
  <dcterms:created xsi:type="dcterms:W3CDTF">2012-04-30T12:14:00Z</dcterms:created>
  <dcterms:modified xsi:type="dcterms:W3CDTF">2012-06-16T05:03:00Z</dcterms:modified>
  <cp:category/>
</cp:coreProperties>
</file>